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5F" w:rsidRPr="00A3415F" w:rsidRDefault="00A3415F" w:rsidP="00BC5AE1">
      <w:pPr>
        <w:spacing w:after="240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A3415F">
        <w:rPr>
          <w:rFonts w:ascii="Arial" w:eastAsia="Times New Roman" w:hAnsi="Arial" w:cs="Arial"/>
          <w:b/>
          <w:bCs/>
          <w:kern w:val="36"/>
          <w:sz w:val="48"/>
          <w:szCs w:val="48"/>
        </w:rPr>
        <w:t>Chromatography of amino acids</w:t>
      </w:r>
    </w:p>
    <w:p w:rsidR="00A3415F" w:rsidRDefault="00A3415F" w:rsidP="00BC5AE1">
      <w:pPr>
        <w:spacing w:after="0"/>
        <w:rPr>
          <w:rFonts w:ascii="Arial" w:eastAsia="Times New Roman" w:hAnsi="Arial" w:cs="Arial"/>
          <w:sz w:val="24"/>
          <w:szCs w:val="24"/>
        </w:rPr>
      </w:pPr>
      <w:r w:rsidRPr="00A3415F">
        <w:rPr>
          <w:rFonts w:ascii="Arial" w:eastAsia="Times New Roman" w:hAnsi="Arial" w:cs="Arial"/>
          <w:sz w:val="24"/>
          <w:szCs w:val="24"/>
        </w:rPr>
        <w:t xml:space="preserve">Amino acids have no colour. Therefore all of these procedures need to be carried out "blind", and the results will </w:t>
      </w:r>
      <w:r w:rsidR="005B0014">
        <w:rPr>
          <w:rFonts w:ascii="Arial" w:eastAsia="Times New Roman" w:hAnsi="Arial" w:cs="Arial"/>
          <w:sz w:val="24"/>
          <w:szCs w:val="24"/>
        </w:rPr>
        <w:t xml:space="preserve">only </w:t>
      </w:r>
      <w:r w:rsidRPr="00A3415F">
        <w:rPr>
          <w:rFonts w:ascii="Arial" w:eastAsia="Times New Roman" w:hAnsi="Arial" w:cs="Arial"/>
          <w:sz w:val="24"/>
          <w:szCs w:val="24"/>
        </w:rPr>
        <w:t xml:space="preserve">be seen </w:t>
      </w:r>
      <w:r w:rsidR="005B0014">
        <w:rPr>
          <w:rFonts w:ascii="Arial" w:eastAsia="Times New Roman" w:hAnsi="Arial" w:cs="Arial"/>
          <w:sz w:val="24"/>
          <w:szCs w:val="24"/>
        </w:rPr>
        <w:t xml:space="preserve">after drying </w:t>
      </w:r>
      <w:r w:rsidRPr="00A3415F">
        <w:rPr>
          <w:rFonts w:ascii="Arial" w:eastAsia="Times New Roman" w:hAnsi="Arial" w:cs="Arial"/>
          <w:sz w:val="24"/>
          <w:szCs w:val="24"/>
        </w:rPr>
        <w:t>when a revealing agent (</w:t>
      </w:r>
      <w:proofErr w:type="spellStart"/>
      <w:r w:rsidRPr="00A3415F">
        <w:rPr>
          <w:rFonts w:ascii="Arial" w:eastAsia="Times New Roman" w:hAnsi="Arial" w:cs="Arial"/>
          <w:sz w:val="24"/>
          <w:szCs w:val="24"/>
        </w:rPr>
        <w:t>ninhydrin</w:t>
      </w:r>
      <w:proofErr w:type="spellEnd"/>
      <w:r w:rsidRPr="00A3415F">
        <w:rPr>
          <w:rFonts w:ascii="Arial" w:eastAsia="Times New Roman" w:hAnsi="Arial" w:cs="Arial"/>
          <w:sz w:val="24"/>
          <w:szCs w:val="24"/>
        </w:rPr>
        <w:t xml:space="preserve">) </w:t>
      </w:r>
      <w:r w:rsidR="005B0014">
        <w:rPr>
          <w:rFonts w:ascii="Arial" w:eastAsia="Times New Roman" w:hAnsi="Arial" w:cs="Arial"/>
          <w:sz w:val="24"/>
          <w:szCs w:val="24"/>
        </w:rPr>
        <w:t>from the solvent acts on</w:t>
      </w:r>
      <w:r w:rsidRPr="00A3415F">
        <w:rPr>
          <w:rFonts w:ascii="Arial" w:eastAsia="Times New Roman" w:hAnsi="Arial" w:cs="Arial"/>
          <w:sz w:val="24"/>
          <w:szCs w:val="24"/>
        </w:rPr>
        <w:t xml:space="preserve"> the resulting chromatogram.</w:t>
      </w:r>
      <w:r w:rsidRPr="00A3415F">
        <w:rPr>
          <w:rFonts w:ascii="Arial" w:eastAsia="Times New Roman" w:hAnsi="Arial" w:cs="Arial"/>
          <w:sz w:val="24"/>
          <w:szCs w:val="24"/>
        </w:rPr>
        <w:br/>
      </w:r>
      <w:r w:rsidRPr="00A3415F">
        <w:rPr>
          <w:rFonts w:ascii="Arial" w:eastAsia="Times New Roman" w:hAnsi="Arial" w:cs="Arial"/>
          <w:sz w:val="24"/>
          <w:szCs w:val="24"/>
        </w:rPr>
        <w:br/>
        <w:t xml:space="preserve">You are provided with </w:t>
      </w:r>
      <w:r>
        <w:rPr>
          <w:rFonts w:ascii="Arial" w:eastAsia="Times New Roman" w:hAnsi="Arial" w:cs="Arial"/>
          <w:sz w:val="24"/>
          <w:szCs w:val="24"/>
        </w:rPr>
        <w:t>some</w:t>
      </w:r>
      <w:r w:rsidRPr="00A3415F">
        <w:rPr>
          <w:rFonts w:ascii="Arial" w:eastAsia="Times New Roman" w:hAnsi="Arial" w:cs="Arial"/>
          <w:sz w:val="24"/>
          <w:szCs w:val="24"/>
        </w:rPr>
        <w:t xml:space="preserve"> solutions of amino acids, and solution X</w:t>
      </w:r>
      <w:r>
        <w:rPr>
          <w:rFonts w:ascii="Arial" w:eastAsia="Times New Roman" w:hAnsi="Arial" w:cs="Arial"/>
          <w:sz w:val="24"/>
          <w:szCs w:val="24"/>
        </w:rPr>
        <w:t xml:space="preserve"> (a mixture of 2 amino acids). </w:t>
      </w:r>
      <w:r w:rsidRPr="00A3415F">
        <w:rPr>
          <w:rFonts w:ascii="Arial" w:eastAsia="Times New Roman" w:hAnsi="Arial" w:cs="Arial"/>
          <w:sz w:val="24"/>
          <w:szCs w:val="24"/>
        </w:rPr>
        <w:t>Do not use the same pipette for more than one liquid.</w:t>
      </w:r>
      <w:r w:rsidRPr="00A3415F">
        <w:rPr>
          <w:rFonts w:ascii="Arial" w:eastAsia="Times New Roman" w:hAnsi="Arial" w:cs="Arial"/>
          <w:sz w:val="24"/>
          <w:szCs w:val="24"/>
        </w:rPr>
        <w:br/>
      </w:r>
      <w:r w:rsidRPr="00A3415F">
        <w:rPr>
          <w:rFonts w:ascii="Arial" w:eastAsia="Times New Roman" w:hAnsi="Arial" w:cs="Arial"/>
          <w:sz w:val="24"/>
          <w:szCs w:val="24"/>
        </w:rPr>
        <w:br/>
      </w:r>
      <w:r w:rsidR="00B374CE">
        <w:rPr>
          <w:rFonts w:ascii="Arial" w:eastAsia="Times New Roman" w:hAnsi="Arial" w:cs="Arial"/>
          <w:sz w:val="24"/>
          <w:szCs w:val="24"/>
        </w:rPr>
        <w:t xml:space="preserve">Only the very top of the </w:t>
      </w:r>
      <w:r w:rsidR="005B0014">
        <w:rPr>
          <w:rFonts w:ascii="Arial" w:eastAsia="Times New Roman" w:hAnsi="Arial" w:cs="Arial"/>
          <w:sz w:val="24"/>
          <w:szCs w:val="24"/>
        </w:rPr>
        <w:t>thin layer chromatography (TLC) plates</w:t>
      </w:r>
      <w:r w:rsidRPr="00A3415F">
        <w:rPr>
          <w:rFonts w:ascii="Arial" w:eastAsia="Times New Roman" w:hAnsi="Arial" w:cs="Arial"/>
          <w:sz w:val="24"/>
          <w:szCs w:val="24"/>
        </w:rPr>
        <w:t xml:space="preserve"> </w:t>
      </w:r>
      <w:r w:rsidR="00B374CE">
        <w:rPr>
          <w:rFonts w:ascii="Arial" w:eastAsia="Times New Roman" w:hAnsi="Arial" w:cs="Arial"/>
          <w:sz w:val="24"/>
          <w:szCs w:val="24"/>
        </w:rPr>
        <w:t>may</w:t>
      </w:r>
      <w:r w:rsidRPr="00A3415F">
        <w:rPr>
          <w:rFonts w:ascii="Arial" w:eastAsia="Times New Roman" w:hAnsi="Arial" w:cs="Arial"/>
          <w:sz w:val="24"/>
          <w:szCs w:val="24"/>
        </w:rPr>
        <w:t xml:space="preserve"> be touched with the hands</w:t>
      </w:r>
      <w:r w:rsidR="00B374CE">
        <w:rPr>
          <w:rFonts w:ascii="Arial" w:eastAsia="Times New Roman" w:hAnsi="Arial" w:cs="Arial"/>
          <w:sz w:val="24"/>
          <w:szCs w:val="24"/>
        </w:rPr>
        <w:t>.</w:t>
      </w:r>
      <w:r w:rsidRPr="00A34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DF047C" w:rsidRDefault="005B0014" w:rsidP="00BC5AE1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Use plastic/rubber gloves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 and work on a clean surface (e.g. </w:t>
      </w:r>
      <w:r>
        <w:rPr>
          <w:rFonts w:ascii="Arial" w:eastAsia="Times New Roman" w:hAnsi="Arial" w:cs="Arial"/>
          <w:sz w:val="24"/>
          <w:szCs w:val="24"/>
        </w:rPr>
        <w:t>a clean sheet of blotting paper</w:t>
      </w:r>
      <w:r w:rsidR="00A3415F" w:rsidRPr="00A3415F">
        <w:rPr>
          <w:rFonts w:ascii="Arial" w:eastAsia="Times New Roman" w:hAnsi="Arial" w:cs="Arial"/>
          <w:sz w:val="24"/>
          <w:szCs w:val="24"/>
        </w:rPr>
        <w:t>).</w:t>
      </w:r>
      <w:r w:rsidR="00A3415F" w:rsidRPr="00A3415F">
        <w:rPr>
          <w:rFonts w:ascii="Arial" w:eastAsia="Times New Roman" w:hAnsi="Arial" w:cs="Arial"/>
          <w:sz w:val="24"/>
          <w:szCs w:val="24"/>
        </w:rPr>
        <w:br/>
      </w:r>
      <w:r w:rsidR="00A3415F" w:rsidRPr="00A3415F">
        <w:rPr>
          <w:rFonts w:ascii="Arial" w:eastAsia="Times New Roman" w:hAnsi="Arial" w:cs="Arial"/>
          <w:sz w:val="24"/>
          <w:szCs w:val="24"/>
        </w:rPr>
        <w:br/>
      </w:r>
      <w:r w:rsidR="00DF047C">
        <w:rPr>
          <w:rFonts w:ascii="Arial" w:eastAsia="Times New Roman" w:hAnsi="Arial" w:cs="Arial"/>
          <w:sz w:val="24"/>
          <w:szCs w:val="24"/>
        </w:rPr>
        <w:t>Take a TLC plate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 (slightly longer than the </w:t>
      </w:r>
      <w:r w:rsidR="00DF047C">
        <w:rPr>
          <w:rFonts w:ascii="Arial" w:eastAsia="Times New Roman" w:hAnsi="Arial" w:cs="Arial"/>
          <w:sz w:val="24"/>
          <w:szCs w:val="24"/>
        </w:rPr>
        <w:t xml:space="preserve">frame in the 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glass </w:t>
      </w:r>
      <w:r w:rsidR="00DF047C">
        <w:rPr>
          <w:rFonts w:ascii="Arial" w:eastAsia="Times New Roman" w:hAnsi="Arial" w:cs="Arial"/>
          <w:sz w:val="24"/>
          <w:szCs w:val="24"/>
        </w:rPr>
        <w:t xml:space="preserve">chromatography 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chamber) and </w:t>
      </w:r>
      <w:r w:rsidR="00DF047C">
        <w:rPr>
          <w:rFonts w:ascii="Arial" w:eastAsia="Times New Roman" w:hAnsi="Arial" w:cs="Arial"/>
          <w:sz w:val="24"/>
          <w:szCs w:val="24"/>
        </w:rPr>
        <w:t xml:space="preserve">carefully 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mark it with a </w:t>
      </w:r>
      <w:r w:rsidR="00DF047C">
        <w:rPr>
          <w:rFonts w:ascii="Arial" w:eastAsia="Times New Roman" w:hAnsi="Arial" w:cs="Arial"/>
          <w:sz w:val="24"/>
          <w:szCs w:val="24"/>
        </w:rPr>
        <w:t xml:space="preserve">thin </w:t>
      </w:r>
      <w:r w:rsidR="00A3415F" w:rsidRPr="00A3415F">
        <w:rPr>
          <w:rFonts w:ascii="Arial" w:eastAsia="Times New Roman" w:hAnsi="Arial" w:cs="Arial"/>
          <w:b/>
          <w:bCs/>
          <w:sz w:val="24"/>
          <w:szCs w:val="24"/>
        </w:rPr>
        <w:t>pencil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 lin</w:t>
      </w:r>
      <w:r w:rsidR="00DF047C">
        <w:rPr>
          <w:rFonts w:ascii="Arial" w:eastAsia="Times New Roman" w:hAnsi="Arial" w:cs="Arial"/>
          <w:sz w:val="24"/>
          <w:szCs w:val="24"/>
        </w:rPr>
        <w:t>e about 2</w:t>
      </w:r>
      <w:r w:rsidR="00723B66">
        <w:rPr>
          <w:rFonts w:ascii="Arial" w:eastAsia="Times New Roman" w:hAnsi="Arial" w:cs="Arial"/>
          <w:sz w:val="24"/>
          <w:szCs w:val="24"/>
        </w:rPr>
        <w:t>cm from the bottom.</w:t>
      </w:r>
      <w:r w:rsidR="00DF047C">
        <w:rPr>
          <w:rFonts w:ascii="Arial" w:eastAsia="Times New Roman" w:hAnsi="Arial" w:cs="Arial"/>
          <w:sz w:val="24"/>
          <w:szCs w:val="24"/>
        </w:rPr>
        <w:t xml:space="preserve"> </w:t>
      </w:r>
    </w:p>
    <w:p w:rsidR="00A3415F" w:rsidRPr="00A3415F" w:rsidRDefault="00DF047C" w:rsidP="00BC5AE1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NB The plate’s coating will crumble if undue pressure is used which will affect the results.</w:t>
      </w:r>
      <w:r w:rsidR="00723B66">
        <w:rPr>
          <w:rFonts w:ascii="Arial" w:eastAsia="Times New Roman" w:hAnsi="Arial" w:cs="Arial"/>
          <w:sz w:val="24"/>
          <w:szCs w:val="24"/>
        </w:rPr>
        <w:br/>
      </w:r>
      <w:r w:rsidR="00723B6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U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sing a pencil, put </w:t>
      </w:r>
      <w:r>
        <w:rPr>
          <w:rFonts w:ascii="Arial" w:eastAsia="Times New Roman" w:hAnsi="Arial" w:cs="Arial"/>
          <w:sz w:val="24"/>
          <w:szCs w:val="24"/>
        </w:rPr>
        <w:t>5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 </w:t>
      </w:r>
      <w:r w:rsidRPr="00DF047C">
        <w:rPr>
          <w:rFonts w:ascii="Arial" w:eastAsia="Times New Roman" w:hAnsi="Arial" w:cs="Arial"/>
          <w:sz w:val="24"/>
          <w:szCs w:val="24"/>
          <w:u w:val="single"/>
        </w:rPr>
        <w:t>small</w:t>
      </w:r>
      <w:r>
        <w:rPr>
          <w:rFonts w:ascii="Arial" w:eastAsia="Times New Roman" w:hAnsi="Arial" w:cs="Arial"/>
          <w:sz w:val="24"/>
          <w:szCs w:val="24"/>
        </w:rPr>
        <w:t xml:space="preserve"> crosses evenly spaced on the line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, the outer ones labelled with (3 letter codes for) the amino acids you are going to use, and X in the middle. </w:t>
      </w:r>
      <w:r>
        <w:rPr>
          <w:rFonts w:ascii="Arial" w:eastAsia="Times New Roman" w:hAnsi="Arial" w:cs="Arial"/>
          <w:sz w:val="24"/>
          <w:szCs w:val="24"/>
        </w:rPr>
        <w:t>Initial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your plate at the top.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br/>
        <w:t>Using 5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 different </w:t>
      </w:r>
      <w:r>
        <w:rPr>
          <w:rFonts w:ascii="Arial" w:eastAsia="Times New Roman" w:hAnsi="Arial" w:cs="Arial"/>
          <w:sz w:val="24"/>
          <w:szCs w:val="24"/>
        </w:rPr>
        <w:t>micro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pipettes, place a drop of each amino acid, and the mixture X, at the appropriate positions on the line. </w:t>
      </w:r>
      <w:r>
        <w:rPr>
          <w:rFonts w:ascii="Arial" w:eastAsia="Times New Roman" w:hAnsi="Arial" w:cs="Arial"/>
          <w:sz w:val="24"/>
          <w:szCs w:val="24"/>
        </w:rPr>
        <w:t>R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epeat the spotting process (on </w:t>
      </w:r>
      <w:r>
        <w:rPr>
          <w:rFonts w:ascii="Arial" w:eastAsia="Times New Roman" w:hAnsi="Arial" w:cs="Arial"/>
          <w:sz w:val="24"/>
          <w:szCs w:val="24"/>
        </w:rPr>
        <w:t xml:space="preserve">exactly 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the same positions) to raise the concentration of the amino acids, but ensure that the paper is </w:t>
      </w:r>
      <w:r w:rsidR="00A3415F" w:rsidRPr="00DF047C">
        <w:rPr>
          <w:rFonts w:ascii="Arial" w:eastAsia="Times New Roman" w:hAnsi="Arial" w:cs="Arial"/>
          <w:sz w:val="24"/>
          <w:szCs w:val="24"/>
          <w:u w:val="single"/>
        </w:rPr>
        <w:t>completely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 dry before </w:t>
      </w:r>
      <w:r>
        <w:rPr>
          <w:rFonts w:ascii="Arial" w:eastAsia="Times New Roman" w:hAnsi="Arial" w:cs="Arial"/>
          <w:sz w:val="24"/>
          <w:szCs w:val="24"/>
        </w:rPr>
        <w:t xml:space="preserve">re-spotting </w:t>
      </w:r>
      <w:r w:rsidR="00723B66">
        <w:rPr>
          <w:rFonts w:ascii="Arial" w:eastAsia="Times New Roman" w:hAnsi="Arial" w:cs="Arial"/>
          <w:sz w:val="24"/>
          <w:szCs w:val="24"/>
        </w:rPr>
        <w:t>to prevent the solution ‘spreading’</w:t>
      </w:r>
      <w:r w:rsidR="00A3415F" w:rsidRPr="00A3415F">
        <w:rPr>
          <w:rFonts w:ascii="Arial" w:eastAsia="Times New Roman" w:hAnsi="Arial" w:cs="Arial"/>
          <w:sz w:val="24"/>
          <w:szCs w:val="24"/>
        </w:rPr>
        <w:t>.</w:t>
      </w:r>
      <w:r w:rsidR="00A3415F" w:rsidRPr="00A3415F">
        <w:rPr>
          <w:rFonts w:ascii="Arial" w:eastAsia="Times New Roman" w:hAnsi="Arial" w:cs="Arial"/>
          <w:sz w:val="24"/>
          <w:szCs w:val="24"/>
        </w:rPr>
        <w:br/>
      </w:r>
      <w:r w:rsidR="00723B66">
        <w:rPr>
          <w:rFonts w:ascii="Arial" w:eastAsia="Times New Roman" w:hAnsi="Arial" w:cs="Arial"/>
          <w:sz w:val="24"/>
          <w:szCs w:val="24"/>
        </w:rPr>
        <w:br/>
      </w:r>
      <w:r w:rsidR="00723B66" w:rsidRPr="00BC5AE1">
        <w:rPr>
          <w:rFonts w:ascii="Arial" w:eastAsia="Times New Roman" w:hAnsi="Arial" w:cs="Arial"/>
          <w:b/>
          <w:sz w:val="24"/>
          <w:szCs w:val="24"/>
        </w:rPr>
        <w:t>In a fume cupboard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: </w:t>
      </w:r>
      <w:r w:rsidR="00A3415F" w:rsidRPr="00A3415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There is a pre-prepared glass chamber containing </w:t>
      </w:r>
      <w:r w:rsidR="00A3415F" w:rsidRPr="00A3415F">
        <w:rPr>
          <w:rFonts w:ascii="Arial" w:eastAsia="Times New Roman" w:hAnsi="Arial" w:cs="Arial"/>
          <w:sz w:val="24"/>
          <w:szCs w:val="24"/>
        </w:rPr>
        <w:t>chromatography solvent (butanol/ethanoic acid) (</w:t>
      </w:r>
      <w:r>
        <w:rPr>
          <w:rFonts w:ascii="Arial" w:eastAsia="Times New Roman" w:hAnsi="Arial" w:cs="Arial"/>
          <w:sz w:val="24"/>
          <w:szCs w:val="24"/>
        </w:rPr>
        <w:t>to about 1 cm depth). T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he lid </w:t>
      </w:r>
      <w:r>
        <w:rPr>
          <w:rFonts w:ascii="Arial" w:eastAsia="Times New Roman" w:hAnsi="Arial" w:cs="Arial"/>
          <w:sz w:val="24"/>
          <w:szCs w:val="24"/>
        </w:rPr>
        <w:t xml:space="preserve">should be left on as much as possible </w:t>
      </w:r>
      <w:r w:rsidR="00A3415F" w:rsidRPr="00A3415F">
        <w:rPr>
          <w:rFonts w:ascii="Arial" w:eastAsia="Times New Roman" w:hAnsi="Arial" w:cs="Arial"/>
          <w:sz w:val="24"/>
          <w:szCs w:val="24"/>
        </w:rPr>
        <w:t>to allow the atmosphere to become saturated with vapour</w:t>
      </w:r>
      <w:r>
        <w:rPr>
          <w:rFonts w:ascii="Arial" w:eastAsia="Times New Roman" w:hAnsi="Arial" w:cs="Arial"/>
          <w:sz w:val="24"/>
          <w:szCs w:val="24"/>
        </w:rPr>
        <w:t xml:space="preserve"> and avoid the solvent evaporating from the face of the plates during the separation process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. Leave the chamber </w:t>
      </w:r>
      <w:r w:rsidR="00BC5AE1">
        <w:rPr>
          <w:rFonts w:ascii="Arial" w:eastAsia="Times New Roman" w:hAnsi="Arial" w:cs="Arial"/>
          <w:sz w:val="24"/>
          <w:szCs w:val="24"/>
        </w:rPr>
        <w:t>in the fume cupboard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 in its final position, so that it does not splash up; bring the </w:t>
      </w:r>
      <w:r>
        <w:rPr>
          <w:rFonts w:ascii="Arial" w:eastAsia="Times New Roman" w:hAnsi="Arial" w:cs="Arial"/>
          <w:sz w:val="24"/>
          <w:szCs w:val="24"/>
        </w:rPr>
        <w:t>TLC plate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 to it.</w:t>
      </w:r>
      <w:r>
        <w:rPr>
          <w:rFonts w:ascii="Arial" w:eastAsia="Times New Roman" w:hAnsi="Arial" w:cs="Arial"/>
          <w:sz w:val="24"/>
          <w:szCs w:val="24"/>
        </w:rPr>
        <w:t xml:space="preserve"> A metal frame is placed in the chamber from which to suspend the TLC plates.</w:t>
      </w:r>
      <w:r w:rsidR="00A3415F" w:rsidRPr="00A3415F">
        <w:rPr>
          <w:rFonts w:ascii="Arial" w:eastAsia="Times New Roman" w:hAnsi="Arial" w:cs="Arial"/>
          <w:sz w:val="24"/>
          <w:szCs w:val="24"/>
        </w:rPr>
        <w:br/>
      </w:r>
      <w:r w:rsidR="00A3415F" w:rsidRPr="00A3415F">
        <w:rPr>
          <w:rFonts w:ascii="Arial" w:eastAsia="Times New Roman" w:hAnsi="Arial" w:cs="Arial"/>
          <w:sz w:val="24"/>
          <w:szCs w:val="24"/>
        </w:rPr>
        <w:br/>
        <w:t xml:space="preserve">Line up the </w:t>
      </w:r>
      <w:r>
        <w:rPr>
          <w:rFonts w:ascii="Arial" w:eastAsia="Times New Roman" w:hAnsi="Arial" w:cs="Arial"/>
          <w:sz w:val="24"/>
          <w:szCs w:val="24"/>
        </w:rPr>
        <w:t xml:space="preserve">plate with the frame 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and </w:t>
      </w:r>
      <w:r>
        <w:rPr>
          <w:rFonts w:ascii="Arial" w:eastAsia="Times New Roman" w:hAnsi="Arial" w:cs="Arial"/>
          <w:sz w:val="24"/>
          <w:szCs w:val="24"/>
        </w:rPr>
        <w:t>clip it onto a wire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 so that </w:t>
      </w:r>
      <w:r>
        <w:rPr>
          <w:rFonts w:ascii="Arial" w:eastAsia="Times New Roman" w:hAnsi="Arial" w:cs="Arial"/>
          <w:sz w:val="24"/>
          <w:szCs w:val="24"/>
        </w:rPr>
        <w:t>the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 solvent touch</w:t>
      </w:r>
      <w:r>
        <w:rPr>
          <w:rFonts w:ascii="Arial" w:eastAsia="Times New Roman" w:hAnsi="Arial" w:cs="Arial"/>
          <w:sz w:val="24"/>
          <w:szCs w:val="24"/>
        </w:rPr>
        <w:t>es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 the lower part of the paper but </w:t>
      </w:r>
      <w:r w:rsidRPr="00DF047C">
        <w:rPr>
          <w:rFonts w:ascii="Arial" w:eastAsia="Times New Roman" w:hAnsi="Arial" w:cs="Arial"/>
          <w:sz w:val="24"/>
          <w:szCs w:val="24"/>
          <w:u w:val="single"/>
        </w:rPr>
        <w:t xml:space="preserve">does </w:t>
      </w:r>
      <w:r w:rsidR="00A3415F" w:rsidRPr="00DF047C">
        <w:rPr>
          <w:rFonts w:ascii="Arial" w:eastAsia="Times New Roman" w:hAnsi="Arial" w:cs="Arial"/>
          <w:sz w:val="24"/>
          <w:szCs w:val="24"/>
          <w:u w:val="single"/>
        </w:rPr>
        <w:t>not cover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 the drops on the line.</w:t>
      </w:r>
      <w:r w:rsidR="00A3415F" w:rsidRPr="00A3415F">
        <w:rPr>
          <w:rFonts w:ascii="Arial" w:eastAsia="Times New Roman" w:hAnsi="Arial" w:cs="Arial"/>
          <w:sz w:val="24"/>
          <w:szCs w:val="24"/>
        </w:rPr>
        <w:br/>
      </w:r>
      <w:r w:rsidR="00A3415F" w:rsidRPr="00A3415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Re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place the lid </w:t>
      </w:r>
      <w:r>
        <w:rPr>
          <w:rFonts w:ascii="Arial" w:eastAsia="Times New Roman" w:hAnsi="Arial" w:cs="Arial"/>
          <w:sz w:val="24"/>
          <w:szCs w:val="24"/>
        </w:rPr>
        <w:t>as soon as possible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. The </w:t>
      </w:r>
      <w:r>
        <w:rPr>
          <w:rFonts w:ascii="Arial" w:eastAsia="Times New Roman" w:hAnsi="Arial" w:cs="Arial"/>
          <w:sz w:val="24"/>
          <w:szCs w:val="24"/>
        </w:rPr>
        <w:t>TLC plates must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 not touch the sides of the chamber.</w:t>
      </w:r>
      <w:r w:rsidR="00A3415F" w:rsidRPr="00A3415F">
        <w:rPr>
          <w:rFonts w:ascii="Arial" w:eastAsia="Times New Roman" w:hAnsi="Arial" w:cs="Arial"/>
          <w:sz w:val="24"/>
          <w:szCs w:val="24"/>
        </w:rPr>
        <w:br/>
      </w:r>
      <w:r w:rsidR="00A3415F" w:rsidRPr="00A3415F">
        <w:rPr>
          <w:rFonts w:ascii="Arial" w:eastAsia="Times New Roman" w:hAnsi="Arial" w:cs="Arial"/>
          <w:sz w:val="24"/>
          <w:szCs w:val="24"/>
        </w:rPr>
        <w:br/>
        <w:t xml:space="preserve">The solvent </w:t>
      </w:r>
      <w:r>
        <w:rPr>
          <w:rFonts w:ascii="Arial" w:eastAsia="Times New Roman" w:hAnsi="Arial" w:cs="Arial"/>
          <w:sz w:val="24"/>
          <w:szCs w:val="24"/>
        </w:rPr>
        <w:t>will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 gradually rise up the </w:t>
      </w:r>
      <w:r>
        <w:rPr>
          <w:rFonts w:ascii="Arial" w:eastAsia="Times New Roman" w:hAnsi="Arial" w:cs="Arial"/>
          <w:sz w:val="24"/>
          <w:szCs w:val="24"/>
        </w:rPr>
        <w:t>plate</w:t>
      </w:r>
      <w:r w:rsidR="00A3415F" w:rsidRPr="00A3415F">
        <w:rPr>
          <w:rFonts w:ascii="Arial" w:eastAsia="Times New Roman" w:hAnsi="Arial" w:cs="Arial"/>
          <w:sz w:val="24"/>
          <w:szCs w:val="24"/>
        </w:rPr>
        <w:t>, passing the line and</w:t>
      </w:r>
      <w:r>
        <w:rPr>
          <w:rFonts w:ascii="Arial" w:eastAsia="Times New Roman" w:hAnsi="Arial" w:cs="Arial"/>
          <w:sz w:val="24"/>
          <w:szCs w:val="24"/>
        </w:rPr>
        <w:t xml:space="preserve"> heading upwards.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br/>
        <w:t>After about 1 hour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, the </w:t>
      </w:r>
      <w:r>
        <w:rPr>
          <w:rFonts w:ascii="Arial" w:eastAsia="Times New Roman" w:hAnsi="Arial" w:cs="Arial"/>
          <w:sz w:val="24"/>
          <w:szCs w:val="24"/>
        </w:rPr>
        <w:t>solvent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 should have risen about three-quarters of the height of the </w:t>
      </w:r>
      <w:r>
        <w:rPr>
          <w:rFonts w:ascii="Arial" w:eastAsia="Times New Roman" w:hAnsi="Arial" w:cs="Arial"/>
          <w:sz w:val="24"/>
          <w:szCs w:val="24"/>
        </w:rPr>
        <w:t>plate</w:t>
      </w:r>
      <w:r w:rsidR="00A3415F" w:rsidRPr="00A3415F">
        <w:rPr>
          <w:rFonts w:ascii="Arial" w:eastAsia="Times New Roman" w:hAnsi="Arial" w:cs="Arial"/>
          <w:sz w:val="24"/>
          <w:szCs w:val="24"/>
        </w:rPr>
        <w:t>. If the solvent nears the top of the paper, proceed immediately to the next stage.</w:t>
      </w:r>
      <w:r w:rsidR="00A3415F" w:rsidRPr="00A3415F">
        <w:rPr>
          <w:rFonts w:ascii="Arial" w:eastAsia="Times New Roman" w:hAnsi="Arial" w:cs="Arial"/>
          <w:sz w:val="24"/>
          <w:szCs w:val="24"/>
        </w:rPr>
        <w:br/>
      </w:r>
      <w:r w:rsidR="00A3415F" w:rsidRPr="00A3415F">
        <w:rPr>
          <w:rFonts w:ascii="Arial" w:eastAsia="Times New Roman" w:hAnsi="Arial" w:cs="Arial"/>
          <w:sz w:val="24"/>
          <w:szCs w:val="24"/>
        </w:rPr>
        <w:br/>
        <w:t xml:space="preserve">Remove the </w:t>
      </w:r>
      <w:r>
        <w:rPr>
          <w:rFonts w:ascii="Arial" w:eastAsia="Times New Roman" w:hAnsi="Arial" w:cs="Arial"/>
          <w:sz w:val="24"/>
          <w:szCs w:val="24"/>
        </w:rPr>
        <w:t>plate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 from the apparatus, and </w:t>
      </w:r>
      <w:r>
        <w:rPr>
          <w:rFonts w:ascii="Arial" w:eastAsia="Times New Roman" w:hAnsi="Arial" w:cs="Arial"/>
          <w:sz w:val="24"/>
          <w:szCs w:val="24"/>
        </w:rPr>
        <w:t xml:space="preserve">immediately 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use a pencil to mark the </w:t>
      </w:r>
      <w:r>
        <w:rPr>
          <w:rFonts w:ascii="Arial" w:eastAsia="Times New Roman" w:hAnsi="Arial" w:cs="Arial"/>
          <w:sz w:val="24"/>
          <w:szCs w:val="24"/>
        </w:rPr>
        <w:t xml:space="preserve">highest 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position of the solvent </w:t>
      </w:r>
      <w:r>
        <w:rPr>
          <w:rFonts w:ascii="Arial" w:eastAsia="Times New Roman" w:hAnsi="Arial" w:cs="Arial"/>
          <w:sz w:val="24"/>
          <w:szCs w:val="24"/>
        </w:rPr>
        <w:t xml:space="preserve">(the solvent </w:t>
      </w:r>
      <w:r w:rsidR="00A3415F" w:rsidRPr="00A3415F">
        <w:rPr>
          <w:rFonts w:ascii="Arial" w:eastAsia="Times New Roman" w:hAnsi="Arial" w:cs="Arial"/>
          <w:sz w:val="24"/>
          <w:szCs w:val="24"/>
        </w:rPr>
        <w:t>front</w:t>
      </w:r>
      <w:r>
        <w:rPr>
          <w:rFonts w:ascii="Arial" w:eastAsia="Times New Roman" w:hAnsi="Arial" w:cs="Arial"/>
          <w:sz w:val="24"/>
          <w:szCs w:val="24"/>
        </w:rPr>
        <w:t>)</w:t>
      </w:r>
      <w:r w:rsidR="00A3415F" w:rsidRPr="00A3415F">
        <w:rPr>
          <w:rFonts w:ascii="Arial" w:eastAsia="Times New Roman" w:hAnsi="Arial" w:cs="Arial"/>
          <w:sz w:val="24"/>
          <w:szCs w:val="24"/>
        </w:rPr>
        <w:t>. Up to 5 p</w:t>
      </w:r>
      <w:r>
        <w:rPr>
          <w:rFonts w:ascii="Arial" w:eastAsia="Times New Roman" w:hAnsi="Arial" w:cs="Arial"/>
          <w:sz w:val="24"/>
          <w:szCs w:val="24"/>
        </w:rPr>
        <w:t>lates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 can be placed across a clean A4 sheet of paper, stapled at the top of the chromatograms.</w:t>
      </w:r>
      <w:r w:rsidR="00A3415F" w:rsidRPr="00A3415F">
        <w:rPr>
          <w:rFonts w:ascii="Arial" w:eastAsia="Times New Roman" w:hAnsi="Arial" w:cs="Arial"/>
          <w:sz w:val="24"/>
          <w:szCs w:val="24"/>
        </w:rPr>
        <w:br/>
      </w:r>
      <w:r w:rsidR="00A3415F" w:rsidRPr="00A3415F">
        <w:rPr>
          <w:rFonts w:ascii="Arial" w:eastAsia="Times New Roman" w:hAnsi="Arial" w:cs="Arial"/>
          <w:sz w:val="24"/>
          <w:szCs w:val="24"/>
        </w:rPr>
        <w:br/>
        <w:t>Place the chromat</w:t>
      </w:r>
      <w:r w:rsidR="00723B66">
        <w:rPr>
          <w:rFonts w:ascii="Arial" w:eastAsia="Times New Roman" w:hAnsi="Arial" w:cs="Arial"/>
          <w:sz w:val="24"/>
          <w:szCs w:val="24"/>
        </w:rPr>
        <w:t>ograms into an oven</w:t>
      </w:r>
      <w:r w:rsidR="00B374CE">
        <w:rPr>
          <w:rFonts w:ascii="Arial" w:eastAsia="Times New Roman" w:hAnsi="Arial" w:cs="Arial"/>
          <w:sz w:val="24"/>
          <w:szCs w:val="24"/>
        </w:rPr>
        <w:t>/incubator</w:t>
      </w:r>
      <w:r w:rsidR="00723B66">
        <w:rPr>
          <w:rFonts w:ascii="Arial" w:eastAsia="Times New Roman" w:hAnsi="Arial" w:cs="Arial"/>
          <w:sz w:val="24"/>
          <w:szCs w:val="24"/>
        </w:rPr>
        <w:t xml:space="preserve"> at about 45</w:t>
      </w:r>
      <w:r w:rsidR="00723B66">
        <w:rPr>
          <w:rFonts w:ascii="Calibri" w:eastAsia="Times New Roman" w:hAnsi="Calibri" w:cs="Arial"/>
          <w:sz w:val="24"/>
          <w:szCs w:val="24"/>
        </w:rPr>
        <w:t>⁰</w:t>
      </w:r>
      <w:r w:rsidR="00A3415F" w:rsidRPr="00A3415F">
        <w:rPr>
          <w:rFonts w:ascii="Arial" w:eastAsia="Times New Roman" w:hAnsi="Arial" w:cs="Arial"/>
          <w:sz w:val="24"/>
          <w:szCs w:val="24"/>
        </w:rPr>
        <w:t>C to dry.</w:t>
      </w:r>
      <w:r w:rsidR="00A3415F" w:rsidRPr="00A3415F">
        <w:rPr>
          <w:rFonts w:ascii="Arial" w:eastAsia="Times New Roman" w:hAnsi="Arial" w:cs="Arial"/>
          <w:sz w:val="24"/>
          <w:szCs w:val="24"/>
        </w:rPr>
        <w:br/>
      </w:r>
      <w:r w:rsidR="00B374CE">
        <w:rPr>
          <w:rFonts w:ascii="Arial" w:eastAsia="Times New Roman" w:hAnsi="Arial" w:cs="Arial"/>
          <w:sz w:val="24"/>
          <w:szCs w:val="24"/>
        </w:rPr>
        <w:lastRenderedPageBreak/>
        <w:t>Whilst in the oven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 colour</w:t>
      </w:r>
      <w:r w:rsidR="00B374CE">
        <w:rPr>
          <w:rFonts w:ascii="Arial" w:eastAsia="Times New Roman" w:hAnsi="Arial" w:cs="Arial"/>
          <w:sz w:val="24"/>
          <w:szCs w:val="24"/>
        </w:rPr>
        <w:t xml:space="preserve"> will develop as the </w:t>
      </w:r>
      <w:proofErr w:type="spellStart"/>
      <w:r w:rsidR="00B374CE" w:rsidRPr="00A3415F">
        <w:rPr>
          <w:rFonts w:ascii="Arial" w:eastAsia="Times New Roman" w:hAnsi="Arial" w:cs="Arial"/>
          <w:sz w:val="24"/>
          <w:szCs w:val="24"/>
        </w:rPr>
        <w:t>ninhydrin</w:t>
      </w:r>
      <w:proofErr w:type="spellEnd"/>
      <w:r w:rsidR="00B374CE">
        <w:rPr>
          <w:rFonts w:ascii="Arial" w:eastAsia="Times New Roman" w:hAnsi="Arial" w:cs="Arial"/>
          <w:sz w:val="24"/>
          <w:szCs w:val="24"/>
        </w:rPr>
        <w:t xml:space="preserve"> present in the chromatography solvent takes effect</w:t>
      </w:r>
      <w:r w:rsidR="00A3415F" w:rsidRPr="00A3415F">
        <w:rPr>
          <w:rFonts w:ascii="Arial" w:eastAsia="Times New Roman" w:hAnsi="Arial" w:cs="Arial"/>
          <w:sz w:val="24"/>
          <w:szCs w:val="24"/>
        </w:rPr>
        <w:t>. Spots should be</w:t>
      </w:r>
      <w:r w:rsidR="00B374CE">
        <w:rPr>
          <w:rFonts w:ascii="Arial" w:eastAsia="Times New Roman" w:hAnsi="Arial" w:cs="Arial"/>
          <w:sz w:val="24"/>
          <w:szCs w:val="24"/>
        </w:rPr>
        <w:t>come</w:t>
      </w:r>
      <w:r w:rsidR="00A3415F" w:rsidRPr="00A3415F">
        <w:rPr>
          <w:rFonts w:ascii="Arial" w:eastAsia="Times New Roman" w:hAnsi="Arial" w:cs="Arial"/>
          <w:sz w:val="24"/>
          <w:szCs w:val="24"/>
        </w:rPr>
        <w:t xml:space="preserve"> </w:t>
      </w:r>
      <w:r w:rsidR="00BC5AE1">
        <w:rPr>
          <w:rFonts w:ascii="Arial" w:eastAsia="Times New Roman" w:hAnsi="Arial" w:cs="Arial"/>
          <w:sz w:val="24"/>
          <w:szCs w:val="24"/>
        </w:rPr>
        <w:t>v</w:t>
      </w:r>
      <w:r w:rsidR="00A3415F" w:rsidRPr="00A3415F">
        <w:rPr>
          <w:rFonts w:ascii="Arial" w:eastAsia="Times New Roman" w:hAnsi="Arial" w:cs="Arial"/>
          <w:sz w:val="24"/>
          <w:szCs w:val="24"/>
        </w:rPr>
        <w:t>isible as purplish smears on the paper.</w:t>
      </w:r>
      <w:r w:rsidR="00A3415F" w:rsidRPr="00A3415F">
        <w:rPr>
          <w:rFonts w:ascii="Arial" w:eastAsia="Times New Roman" w:hAnsi="Arial" w:cs="Arial"/>
          <w:sz w:val="24"/>
          <w:szCs w:val="24"/>
        </w:rPr>
        <w:br/>
      </w:r>
      <w:r w:rsidR="00A3415F" w:rsidRPr="00A3415F">
        <w:rPr>
          <w:rFonts w:ascii="Arial" w:eastAsia="Times New Roman" w:hAnsi="Arial" w:cs="Arial"/>
          <w:sz w:val="24"/>
          <w:szCs w:val="24"/>
        </w:rPr>
        <w:br/>
        <w:t>The image of the spots may be enhanced if the sheet is photocopied on a darker than normal setting.</w:t>
      </w:r>
    </w:p>
    <w:p w:rsidR="00A3415F" w:rsidRPr="00A3415F" w:rsidRDefault="00A3415F" w:rsidP="00BC5AE1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A3415F">
        <w:rPr>
          <w:rFonts w:ascii="Arial" w:eastAsia="Times New Roman" w:hAnsi="Arial" w:cs="Arial"/>
          <w:sz w:val="24"/>
          <w:szCs w:val="24"/>
        </w:rPr>
        <w:br/>
      </w:r>
      <w:r w:rsidRPr="00A3415F">
        <w:rPr>
          <w:rFonts w:ascii="Arial" w:eastAsia="Times New Roman" w:hAnsi="Arial" w:cs="Arial"/>
          <w:sz w:val="24"/>
          <w:szCs w:val="24"/>
        </w:rPr>
        <w:br/>
      </w:r>
      <w:r w:rsidRPr="00A3415F">
        <w:rPr>
          <w:rFonts w:ascii="Arial" w:eastAsia="Times New Roman" w:hAnsi="Arial" w:cs="Arial"/>
          <w:b/>
          <w:bCs/>
          <w:sz w:val="24"/>
          <w:szCs w:val="24"/>
        </w:rPr>
        <w:t xml:space="preserve">Calculation of </w:t>
      </w:r>
      <w:proofErr w:type="spellStart"/>
      <w:proofErr w:type="gramStart"/>
      <w:r w:rsidRPr="00A3415F">
        <w:rPr>
          <w:rFonts w:ascii="Arial" w:eastAsia="Times New Roman" w:hAnsi="Arial" w:cs="Arial"/>
          <w:b/>
          <w:bCs/>
          <w:sz w:val="24"/>
          <w:szCs w:val="24"/>
        </w:rPr>
        <w:t>Rf</w:t>
      </w:r>
      <w:proofErr w:type="spellEnd"/>
      <w:proofErr w:type="gramEnd"/>
      <w:r w:rsidRPr="00A3415F">
        <w:rPr>
          <w:rFonts w:ascii="Arial" w:eastAsia="Times New Roman" w:hAnsi="Arial" w:cs="Arial"/>
          <w:b/>
          <w:bCs/>
          <w:sz w:val="24"/>
          <w:szCs w:val="24"/>
        </w:rPr>
        <w:t xml:space="preserve"> values</w:t>
      </w:r>
      <w:r w:rsidRPr="00A3415F">
        <w:rPr>
          <w:rFonts w:ascii="Arial" w:eastAsia="Times New Roman" w:hAnsi="Arial" w:cs="Arial"/>
          <w:sz w:val="24"/>
          <w:szCs w:val="24"/>
        </w:rPr>
        <w:t xml:space="preserve"> </w:t>
      </w:r>
      <w:r w:rsidRPr="00A3415F">
        <w:rPr>
          <w:rFonts w:ascii="Arial" w:eastAsia="Times New Roman" w:hAnsi="Arial" w:cs="Arial"/>
          <w:sz w:val="24"/>
          <w:szCs w:val="24"/>
        </w:rPr>
        <w:br/>
      </w:r>
      <w:r w:rsidRPr="00A3415F">
        <w:rPr>
          <w:rFonts w:ascii="Arial" w:eastAsia="Times New Roman" w:hAnsi="Arial" w:cs="Arial"/>
          <w:sz w:val="24"/>
          <w:szCs w:val="24"/>
        </w:rPr>
        <w:br/>
        <w:t>Measure the distance from the start line to the solvent front and to the front of each spot.</w:t>
      </w:r>
      <w:r w:rsidRPr="00A3415F">
        <w:rPr>
          <w:rFonts w:ascii="Arial" w:eastAsia="Times New Roman" w:hAnsi="Arial" w:cs="Arial"/>
          <w:sz w:val="24"/>
          <w:szCs w:val="24"/>
        </w:rPr>
        <w:br/>
      </w:r>
      <w:r w:rsidRPr="00A3415F">
        <w:rPr>
          <w:rFonts w:ascii="Arial" w:eastAsia="Times New Roman" w:hAnsi="Arial" w:cs="Arial"/>
          <w:sz w:val="24"/>
          <w:szCs w:val="24"/>
        </w:rPr>
        <w:br/>
        <w:t xml:space="preserve">For each spot, calculate the </w:t>
      </w:r>
      <w:proofErr w:type="spellStart"/>
      <w:proofErr w:type="gramStart"/>
      <w:r w:rsidRPr="00A3415F">
        <w:rPr>
          <w:rFonts w:ascii="Arial" w:eastAsia="Times New Roman" w:hAnsi="Arial" w:cs="Arial"/>
          <w:sz w:val="24"/>
          <w:szCs w:val="24"/>
        </w:rPr>
        <w:t>Rf</w:t>
      </w:r>
      <w:proofErr w:type="spellEnd"/>
      <w:proofErr w:type="gramEnd"/>
      <w:r w:rsidRPr="00A3415F">
        <w:rPr>
          <w:rFonts w:ascii="Arial" w:eastAsia="Times New Roman" w:hAnsi="Arial" w:cs="Arial"/>
          <w:sz w:val="24"/>
          <w:szCs w:val="24"/>
        </w:rPr>
        <w:t xml:space="preserve"> value (</w:t>
      </w:r>
      <w:proofErr w:type="spellStart"/>
      <w:r w:rsidRPr="00A3415F">
        <w:rPr>
          <w:rFonts w:ascii="Arial" w:eastAsia="Times New Roman" w:hAnsi="Arial" w:cs="Arial"/>
          <w:sz w:val="24"/>
          <w:szCs w:val="24"/>
        </w:rPr>
        <w:t>Rf</w:t>
      </w:r>
      <w:proofErr w:type="spellEnd"/>
      <w:r w:rsidRPr="00A3415F">
        <w:rPr>
          <w:rFonts w:ascii="Arial" w:eastAsia="Times New Roman" w:hAnsi="Arial" w:cs="Arial"/>
          <w:sz w:val="24"/>
          <w:szCs w:val="24"/>
        </w:rPr>
        <w:t xml:space="preserve"> means </w:t>
      </w:r>
      <w:r w:rsidRPr="00A3415F">
        <w:rPr>
          <w:rFonts w:ascii="Arial" w:eastAsia="Times New Roman" w:hAnsi="Arial" w:cs="Arial"/>
          <w:i/>
          <w:iCs/>
          <w:sz w:val="24"/>
          <w:szCs w:val="24"/>
        </w:rPr>
        <w:t>relative to front</w:t>
      </w:r>
      <w:r w:rsidRPr="00A3415F">
        <w:rPr>
          <w:rFonts w:ascii="Arial" w:eastAsia="Times New Roman" w:hAnsi="Arial" w:cs="Arial"/>
          <w:sz w:val="24"/>
          <w:szCs w:val="24"/>
        </w:rPr>
        <w:t>):</w:t>
      </w:r>
    </w:p>
    <w:p w:rsidR="00A3415F" w:rsidRPr="00A3415F" w:rsidRDefault="00A3415F" w:rsidP="00BC5AE1">
      <w:pPr>
        <w:spacing w:after="240"/>
        <w:jc w:val="center"/>
        <w:rPr>
          <w:rFonts w:ascii="Arial" w:eastAsia="Times New Roman" w:hAnsi="Arial" w:cs="Arial"/>
          <w:sz w:val="24"/>
          <w:szCs w:val="24"/>
        </w:rPr>
      </w:pPr>
      <w:r w:rsidRPr="00A3415F">
        <w:rPr>
          <w:rFonts w:ascii="Arial" w:eastAsia="Times New Roman" w:hAnsi="Arial" w:cs="Arial"/>
          <w:sz w:val="24"/>
          <w:szCs w:val="24"/>
          <w:u w:val="single"/>
        </w:rPr>
        <w:t>       </w:t>
      </w:r>
      <w:proofErr w:type="gramStart"/>
      <w:r w:rsidRPr="00A3415F">
        <w:rPr>
          <w:rFonts w:ascii="Arial" w:eastAsia="Times New Roman" w:hAnsi="Arial" w:cs="Arial"/>
          <w:sz w:val="24"/>
          <w:szCs w:val="24"/>
          <w:u w:val="single"/>
        </w:rPr>
        <w:t>distance</w:t>
      </w:r>
      <w:proofErr w:type="gramEnd"/>
      <w:r w:rsidRPr="00A3415F">
        <w:rPr>
          <w:rFonts w:ascii="Arial" w:eastAsia="Times New Roman" w:hAnsi="Arial" w:cs="Arial"/>
          <w:sz w:val="24"/>
          <w:szCs w:val="24"/>
          <w:u w:val="single"/>
        </w:rPr>
        <w:t xml:space="preserve"> moved by spot      </w:t>
      </w:r>
      <w:r w:rsidRPr="00A3415F">
        <w:rPr>
          <w:rFonts w:ascii="Arial" w:eastAsia="Times New Roman" w:hAnsi="Arial" w:cs="Arial"/>
          <w:sz w:val="24"/>
          <w:szCs w:val="24"/>
        </w:rPr>
        <w:br/>
        <w:t>distance moved by solvent front</w:t>
      </w:r>
    </w:p>
    <w:p w:rsidR="00BC5AE1" w:rsidRDefault="00A3415F" w:rsidP="00BC5AE1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A3415F">
        <w:rPr>
          <w:rFonts w:ascii="Arial" w:eastAsia="Times New Roman" w:hAnsi="Arial" w:cs="Arial"/>
          <w:sz w:val="24"/>
          <w:szCs w:val="24"/>
        </w:rPr>
        <w:t xml:space="preserve">Compare the values you obtain with reference </w:t>
      </w:r>
      <w:proofErr w:type="spellStart"/>
      <w:proofErr w:type="gramStart"/>
      <w:r w:rsidRPr="00A3415F">
        <w:rPr>
          <w:rFonts w:ascii="Arial" w:eastAsia="Times New Roman" w:hAnsi="Arial" w:cs="Arial"/>
          <w:sz w:val="24"/>
          <w:szCs w:val="24"/>
        </w:rPr>
        <w:t>Rf</w:t>
      </w:r>
      <w:proofErr w:type="spellEnd"/>
      <w:proofErr w:type="gramEnd"/>
      <w:r w:rsidRPr="00A3415F">
        <w:rPr>
          <w:rFonts w:ascii="Arial" w:eastAsia="Times New Roman" w:hAnsi="Arial" w:cs="Arial"/>
          <w:sz w:val="24"/>
          <w:szCs w:val="24"/>
        </w:rPr>
        <w:t xml:space="preserve"> values</w:t>
      </w:r>
      <w:r w:rsidR="00BC5AE1">
        <w:rPr>
          <w:rFonts w:ascii="Arial" w:eastAsia="Times New Roman" w:hAnsi="Arial" w:cs="Arial"/>
          <w:sz w:val="24"/>
          <w:szCs w:val="24"/>
        </w:rPr>
        <w:t xml:space="preserve"> below</w:t>
      </w:r>
      <w:r w:rsidRPr="00A3415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A3415F" w:rsidRPr="00A3415F" w:rsidRDefault="00A3415F" w:rsidP="00BC5AE1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A3415F">
        <w:rPr>
          <w:rFonts w:ascii="Arial" w:eastAsia="Times New Roman" w:hAnsi="Arial" w:cs="Arial"/>
          <w:sz w:val="24"/>
          <w:szCs w:val="24"/>
        </w:rPr>
        <w:t xml:space="preserve">Different solvents and different types or makes of </w:t>
      </w:r>
      <w:proofErr w:type="spellStart"/>
      <w:r w:rsidRPr="00A3415F">
        <w:rPr>
          <w:rFonts w:ascii="Arial" w:eastAsia="Times New Roman" w:hAnsi="Arial" w:cs="Arial"/>
          <w:sz w:val="24"/>
          <w:szCs w:val="24"/>
        </w:rPr>
        <w:t>chromatogaphy</w:t>
      </w:r>
      <w:proofErr w:type="spellEnd"/>
      <w:r w:rsidRPr="00A3415F">
        <w:rPr>
          <w:rFonts w:ascii="Arial" w:eastAsia="Times New Roman" w:hAnsi="Arial" w:cs="Arial"/>
          <w:sz w:val="24"/>
          <w:szCs w:val="24"/>
        </w:rPr>
        <w:t xml:space="preserve"> papers will give slightly different results.</w:t>
      </w:r>
      <w:r w:rsidRPr="00A3415F">
        <w:rPr>
          <w:rFonts w:ascii="Arial" w:eastAsia="Times New Roman" w:hAnsi="Arial" w:cs="Arial"/>
          <w:sz w:val="24"/>
          <w:szCs w:val="24"/>
        </w:rPr>
        <w:br/>
      </w:r>
      <w:r w:rsidRPr="00A3415F">
        <w:rPr>
          <w:rFonts w:ascii="Arial" w:eastAsia="Times New Roman" w:hAnsi="Arial" w:cs="Arial"/>
          <w:sz w:val="24"/>
          <w:szCs w:val="24"/>
        </w:rPr>
        <w:br/>
        <w:t>One or both of the spots from solution X may be at the same level as another (known) amino acid alongside it. This should assist in identification.</w:t>
      </w:r>
      <w:r w:rsidRPr="00A3415F">
        <w:rPr>
          <w:rFonts w:ascii="Arial" w:eastAsia="Times New Roman" w:hAnsi="Arial" w:cs="Arial"/>
          <w:sz w:val="24"/>
          <w:szCs w:val="24"/>
        </w:rPr>
        <w:br/>
      </w:r>
    </w:p>
    <w:tbl>
      <w:tblPr>
        <w:tblW w:w="3797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3"/>
        <w:gridCol w:w="1135"/>
        <w:gridCol w:w="2833"/>
        <w:gridCol w:w="1135"/>
      </w:tblGrid>
      <w:tr w:rsidR="00B374CE" w:rsidRPr="00A3415F" w:rsidTr="00B374CE">
        <w:trPr>
          <w:tblCellSpacing w:w="15" w:type="dxa"/>
          <w:jc w:val="center"/>
        </w:trPr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Amino acid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4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Rf</w:t>
            </w:r>
            <w:proofErr w:type="spellEnd"/>
            <w:r w:rsidRPr="00A34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DF047C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Amino acid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DF047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4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Rf</w:t>
            </w:r>
            <w:proofErr w:type="spellEnd"/>
            <w:r w:rsidRPr="00A3415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value</w:t>
            </w:r>
          </w:p>
        </w:tc>
      </w:tr>
      <w:tr w:rsidR="00B374CE" w:rsidRPr="00A3415F" w:rsidTr="00B374CE">
        <w:trPr>
          <w:tblCellSpacing w:w="15" w:type="dxa"/>
          <w:jc w:val="center"/>
        </w:trPr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Alanine</w:t>
            </w:r>
            <w:r w:rsidR="00B374CE">
              <w:rPr>
                <w:rFonts w:ascii="Arial" w:eastAsia="Times New Roman" w:hAnsi="Arial" w:cs="Arial"/>
                <w:sz w:val="24"/>
                <w:szCs w:val="24"/>
              </w:rPr>
              <w:t xml:space="preserve"> (ALA)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0.38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DF04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Leucine</w:t>
            </w:r>
            <w:r w:rsidR="00B374CE">
              <w:rPr>
                <w:rFonts w:ascii="Arial" w:eastAsia="Times New Roman" w:hAnsi="Arial" w:cs="Arial"/>
                <w:sz w:val="24"/>
                <w:szCs w:val="24"/>
              </w:rPr>
              <w:t xml:space="preserve"> (LEU)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DF047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0.73</w:t>
            </w:r>
          </w:p>
        </w:tc>
      </w:tr>
      <w:tr w:rsidR="00B374CE" w:rsidRPr="00A3415F" w:rsidTr="00B374CE">
        <w:trPr>
          <w:tblCellSpacing w:w="15" w:type="dxa"/>
          <w:jc w:val="center"/>
        </w:trPr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Arginine</w:t>
            </w:r>
            <w:r w:rsidR="00B374CE">
              <w:rPr>
                <w:rFonts w:ascii="Arial" w:eastAsia="Times New Roman" w:hAnsi="Arial" w:cs="Arial"/>
                <w:sz w:val="24"/>
                <w:szCs w:val="24"/>
              </w:rPr>
              <w:t xml:space="preserve"> (ARG)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0.20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DF04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Lysine</w:t>
            </w:r>
            <w:r w:rsidR="00B374CE">
              <w:rPr>
                <w:rFonts w:ascii="Arial" w:eastAsia="Times New Roman" w:hAnsi="Arial" w:cs="Arial"/>
                <w:sz w:val="24"/>
                <w:szCs w:val="24"/>
              </w:rPr>
              <w:t xml:space="preserve"> (LYS)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DF047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0.14</w:t>
            </w:r>
          </w:p>
        </w:tc>
      </w:tr>
      <w:tr w:rsidR="00B374CE" w:rsidRPr="00A3415F" w:rsidTr="00B374CE">
        <w:trPr>
          <w:tblCellSpacing w:w="15" w:type="dxa"/>
          <w:jc w:val="center"/>
        </w:trPr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Asparagine</w:t>
            </w:r>
            <w:r w:rsidR="00B374CE">
              <w:rPr>
                <w:rFonts w:ascii="Arial" w:eastAsia="Times New Roman" w:hAnsi="Arial" w:cs="Arial"/>
                <w:sz w:val="24"/>
                <w:szCs w:val="24"/>
              </w:rPr>
              <w:t xml:space="preserve"> (ASN)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0.5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DF04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Methionine</w:t>
            </w:r>
            <w:r w:rsidR="00B374CE">
              <w:rPr>
                <w:rFonts w:ascii="Arial" w:eastAsia="Times New Roman" w:hAnsi="Arial" w:cs="Arial"/>
                <w:sz w:val="24"/>
                <w:szCs w:val="24"/>
              </w:rPr>
              <w:t xml:space="preserve"> (MET)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DF047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0.55</w:t>
            </w:r>
          </w:p>
        </w:tc>
      </w:tr>
      <w:tr w:rsidR="00B374CE" w:rsidRPr="00A3415F" w:rsidTr="00B374CE">
        <w:trPr>
          <w:tblCellSpacing w:w="15" w:type="dxa"/>
          <w:jc w:val="center"/>
        </w:trPr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aspartic acid</w:t>
            </w:r>
            <w:r w:rsidR="00B374CE">
              <w:rPr>
                <w:rFonts w:ascii="Arial" w:eastAsia="Times New Roman" w:hAnsi="Arial" w:cs="Arial"/>
                <w:sz w:val="24"/>
                <w:szCs w:val="24"/>
              </w:rPr>
              <w:t xml:space="preserve"> (ASP)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0.24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DF04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Phenylalanine</w:t>
            </w:r>
            <w:r w:rsidR="00B374CE">
              <w:rPr>
                <w:rFonts w:ascii="Arial" w:eastAsia="Times New Roman" w:hAnsi="Arial" w:cs="Arial"/>
                <w:sz w:val="24"/>
                <w:szCs w:val="24"/>
              </w:rPr>
              <w:t xml:space="preserve"> (PHE)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DF047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0.68</w:t>
            </w:r>
          </w:p>
        </w:tc>
      </w:tr>
      <w:tr w:rsidR="00B374CE" w:rsidRPr="00A3415F" w:rsidTr="00B374CE">
        <w:trPr>
          <w:tblCellSpacing w:w="15" w:type="dxa"/>
          <w:jc w:val="center"/>
        </w:trPr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Cysteine</w:t>
            </w:r>
            <w:r w:rsidR="00B374CE">
              <w:rPr>
                <w:rFonts w:ascii="Arial" w:eastAsia="Times New Roman" w:hAnsi="Arial" w:cs="Arial"/>
                <w:sz w:val="24"/>
                <w:szCs w:val="24"/>
              </w:rPr>
              <w:t xml:space="preserve"> (CYS)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0.4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BC5AE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3415F">
              <w:rPr>
                <w:rFonts w:ascii="Arial" w:eastAsia="Times New Roman" w:hAnsi="Arial" w:cs="Arial"/>
                <w:sz w:val="24"/>
                <w:szCs w:val="24"/>
              </w:rPr>
              <w:t>Proline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*</w:t>
            </w:r>
            <w:r w:rsidR="00B374CE">
              <w:rPr>
                <w:rFonts w:ascii="Arial" w:eastAsia="Times New Roman" w:hAnsi="Arial" w:cs="Arial"/>
                <w:sz w:val="24"/>
                <w:szCs w:val="24"/>
              </w:rPr>
              <w:t xml:space="preserve"> (PRO)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DF047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0.43</w:t>
            </w:r>
          </w:p>
        </w:tc>
      </w:tr>
      <w:tr w:rsidR="00B374CE" w:rsidRPr="00A3415F" w:rsidTr="00B374CE">
        <w:trPr>
          <w:tblCellSpacing w:w="15" w:type="dxa"/>
          <w:jc w:val="center"/>
        </w:trPr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Glutamine</w:t>
            </w:r>
            <w:r w:rsidR="00B374CE">
              <w:rPr>
                <w:rFonts w:ascii="Arial" w:eastAsia="Times New Roman" w:hAnsi="Arial" w:cs="Arial"/>
                <w:sz w:val="24"/>
                <w:szCs w:val="24"/>
              </w:rPr>
              <w:t xml:space="preserve"> (GLN)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0.13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DF04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Serine</w:t>
            </w:r>
            <w:r w:rsidR="00B374CE">
              <w:rPr>
                <w:rFonts w:ascii="Arial" w:eastAsia="Times New Roman" w:hAnsi="Arial" w:cs="Arial"/>
                <w:sz w:val="24"/>
                <w:szCs w:val="24"/>
              </w:rPr>
              <w:t xml:space="preserve"> (SER)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DF047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0.27</w:t>
            </w:r>
          </w:p>
        </w:tc>
      </w:tr>
      <w:tr w:rsidR="00B374CE" w:rsidRPr="00A3415F" w:rsidTr="00B374CE">
        <w:trPr>
          <w:tblCellSpacing w:w="15" w:type="dxa"/>
          <w:jc w:val="center"/>
        </w:trPr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glutamic acid</w:t>
            </w:r>
            <w:r w:rsidR="00B374CE">
              <w:rPr>
                <w:rFonts w:ascii="Arial" w:eastAsia="Times New Roman" w:hAnsi="Arial" w:cs="Arial"/>
                <w:sz w:val="24"/>
                <w:szCs w:val="24"/>
              </w:rPr>
              <w:t xml:space="preserve"> (GLU)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0.30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DF04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Threonine</w:t>
            </w:r>
            <w:r w:rsidR="00B374CE">
              <w:rPr>
                <w:rFonts w:ascii="Arial" w:eastAsia="Times New Roman" w:hAnsi="Arial" w:cs="Arial"/>
                <w:sz w:val="24"/>
                <w:szCs w:val="24"/>
              </w:rPr>
              <w:t xml:space="preserve"> (THR)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DF047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0.35</w:t>
            </w:r>
          </w:p>
        </w:tc>
      </w:tr>
      <w:tr w:rsidR="00B374CE" w:rsidRPr="00A3415F" w:rsidTr="00B374CE">
        <w:trPr>
          <w:tblCellSpacing w:w="15" w:type="dxa"/>
          <w:jc w:val="center"/>
        </w:trPr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Glycine</w:t>
            </w:r>
            <w:r w:rsidR="00B374CE">
              <w:rPr>
                <w:rFonts w:ascii="Arial" w:eastAsia="Times New Roman" w:hAnsi="Arial" w:cs="Arial"/>
                <w:sz w:val="24"/>
                <w:szCs w:val="24"/>
              </w:rPr>
              <w:t xml:space="preserve"> (GLY)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0.26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DF04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Tryptophan</w:t>
            </w:r>
            <w:r w:rsidR="00B374CE">
              <w:rPr>
                <w:rFonts w:ascii="Arial" w:eastAsia="Times New Roman" w:hAnsi="Arial" w:cs="Arial"/>
                <w:sz w:val="24"/>
                <w:szCs w:val="24"/>
              </w:rPr>
              <w:t xml:space="preserve"> (TRP)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DF047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0.66</w:t>
            </w:r>
          </w:p>
        </w:tc>
      </w:tr>
      <w:tr w:rsidR="00B374CE" w:rsidRPr="00A3415F" w:rsidTr="00B374CE">
        <w:trPr>
          <w:tblCellSpacing w:w="15" w:type="dxa"/>
          <w:jc w:val="center"/>
        </w:trPr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Histidine</w:t>
            </w:r>
            <w:r w:rsidR="00B374CE">
              <w:rPr>
                <w:rFonts w:ascii="Arial" w:eastAsia="Times New Roman" w:hAnsi="Arial" w:cs="Arial"/>
                <w:sz w:val="24"/>
                <w:szCs w:val="24"/>
              </w:rPr>
              <w:t xml:space="preserve"> (HIS)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0.11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DF04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Tyrosine</w:t>
            </w:r>
            <w:r w:rsidR="00B374CE">
              <w:rPr>
                <w:rFonts w:ascii="Arial" w:eastAsia="Times New Roman" w:hAnsi="Arial" w:cs="Arial"/>
                <w:sz w:val="24"/>
                <w:szCs w:val="24"/>
              </w:rPr>
              <w:t xml:space="preserve"> (TYR)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DF047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0.45</w:t>
            </w:r>
          </w:p>
        </w:tc>
      </w:tr>
      <w:tr w:rsidR="00B374CE" w:rsidRPr="00A3415F" w:rsidTr="00B374CE">
        <w:trPr>
          <w:tblCellSpacing w:w="15" w:type="dxa"/>
          <w:jc w:val="center"/>
        </w:trPr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Isoleucine</w:t>
            </w:r>
            <w:r w:rsidR="00B374CE">
              <w:rPr>
                <w:rFonts w:ascii="Arial" w:eastAsia="Times New Roman" w:hAnsi="Arial" w:cs="Arial"/>
                <w:sz w:val="24"/>
                <w:szCs w:val="24"/>
              </w:rPr>
              <w:t xml:space="preserve"> (ILE)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AE1" w:rsidRPr="00A3415F" w:rsidRDefault="00BC5AE1" w:rsidP="00BC5AE1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0.72</w:t>
            </w:r>
          </w:p>
        </w:tc>
        <w:tc>
          <w:tcPr>
            <w:tcW w:w="1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DF047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Valine</w:t>
            </w:r>
            <w:r w:rsidR="00B374CE">
              <w:rPr>
                <w:rFonts w:ascii="Arial" w:eastAsia="Times New Roman" w:hAnsi="Arial" w:cs="Arial"/>
                <w:sz w:val="24"/>
                <w:szCs w:val="24"/>
              </w:rPr>
              <w:t xml:space="preserve"> (VAL)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5AE1" w:rsidRPr="00A3415F" w:rsidRDefault="00BC5AE1" w:rsidP="00DF047C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415F">
              <w:rPr>
                <w:rFonts w:ascii="Arial" w:eastAsia="Times New Roman" w:hAnsi="Arial" w:cs="Arial"/>
                <w:sz w:val="24"/>
                <w:szCs w:val="24"/>
              </w:rPr>
              <w:t>0.61</w:t>
            </w:r>
          </w:p>
        </w:tc>
      </w:tr>
    </w:tbl>
    <w:p w:rsidR="00D3173F" w:rsidRDefault="00BC5AE1" w:rsidP="00BC5AE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* </w:t>
      </w:r>
      <w:proofErr w:type="gramStart"/>
      <w:r w:rsidRPr="00A3415F">
        <w:rPr>
          <w:rFonts w:ascii="Arial" w:eastAsia="Times New Roman" w:hAnsi="Arial" w:cs="Arial"/>
          <w:sz w:val="24"/>
          <w:szCs w:val="24"/>
        </w:rPr>
        <w:t>not</w:t>
      </w:r>
      <w:proofErr w:type="gramEnd"/>
      <w:r w:rsidRPr="00A3415F">
        <w:rPr>
          <w:rFonts w:ascii="Arial" w:eastAsia="Times New Roman" w:hAnsi="Arial" w:cs="Arial"/>
          <w:sz w:val="24"/>
          <w:szCs w:val="24"/>
        </w:rPr>
        <w:t xml:space="preserve"> a </w:t>
      </w:r>
      <w:r w:rsidRPr="00A3415F">
        <w:rPr>
          <w:rFonts w:ascii="Arial" w:eastAsia="Times New Roman" w:hAnsi="Arial" w:cs="Arial"/>
          <w:i/>
          <w:sz w:val="24"/>
          <w:szCs w:val="24"/>
        </w:rPr>
        <w:t>true</w:t>
      </w:r>
      <w:r w:rsidRPr="00A3415F">
        <w:rPr>
          <w:rFonts w:ascii="Arial" w:eastAsia="Times New Roman" w:hAnsi="Arial" w:cs="Arial"/>
          <w:sz w:val="24"/>
          <w:szCs w:val="24"/>
        </w:rPr>
        <w:t xml:space="preserve"> amino acid - shows up as yellow</w:t>
      </w:r>
    </w:p>
    <w:p w:rsidR="00520A2F" w:rsidRPr="00A3415F" w:rsidRDefault="00520A2F" w:rsidP="00BC5AE1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Show your all measurements </w:t>
      </w:r>
      <w:r w:rsidRPr="00520A2F">
        <w:rPr>
          <w:rFonts w:ascii="Arial" w:eastAsia="Times New Roman" w:hAnsi="Arial" w:cs="Arial"/>
          <w:i/>
          <w:sz w:val="24"/>
          <w:szCs w:val="24"/>
        </w:rPr>
        <w:t>and</w:t>
      </w:r>
      <w:r>
        <w:rPr>
          <w:rFonts w:ascii="Arial" w:eastAsia="Times New Roman" w:hAnsi="Arial" w:cs="Arial"/>
          <w:sz w:val="24"/>
          <w:szCs w:val="24"/>
        </w:rPr>
        <w:t xml:space="preserve"> processed data, including an identification of the amino acids in </w:t>
      </w:r>
      <w:r w:rsidR="00B374CE">
        <w:rPr>
          <w:rFonts w:ascii="Arial" w:eastAsia="Times New Roman" w:hAnsi="Arial" w:cs="Arial"/>
          <w:sz w:val="24"/>
          <w:szCs w:val="24"/>
        </w:rPr>
        <w:t xml:space="preserve">the unknown mixture using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a suitable table.</w:t>
      </w:r>
    </w:p>
    <w:sectPr w:rsidR="00520A2F" w:rsidRPr="00A3415F" w:rsidSect="00B374CE">
      <w:headerReference w:type="first" r:id="rId6"/>
      <w:footerReference w:type="first" r:id="rId7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47C" w:rsidRDefault="00DF047C" w:rsidP="00A3415F">
      <w:pPr>
        <w:spacing w:after="0" w:line="240" w:lineRule="auto"/>
      </w:pPr>
      <w:r>
        <w:separator/>
      </w:r>
    </w:p>
  </w:endnote>
  <w:endnote w:type="continuationSeparator" w:id="0">
    <w:p w:rsidR="00DF047C" w:rsidRDefault="00DF047C" w:rsidP="00A3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4CE" w:rsidRDefault="00B374CE" w:rsidP="00B374CE">
    <w:pPr>
      <w:pStyle w:val="Footer"/>
      <w:tabs>
        <w:tab w:val="left" w:pos="6517"/>
        <w:tab w:val="right" w:pos="10466"/>
      </w:tabs>
    </w:pPr>
    <w:r>
      <w:tab/>
    </w:r>
    <w:r>
      <w:tab/>
    </w:r>
    <w:r>
      <w:tab/>
    </w:r>
    <w:r>
      <w:tab/>
      <w:t>PTO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47C" w:rsidRDefault="00DF047C" w:rsidP="00A3415F">
      <w:pPr>
        <w:spacing w:after="0" w:line="240" w:lineRule="auto"/>
      </w:pPr>
      <w:r>
        <w:separator/>
      </w:r>
    </w:p>
  </w:footnote>
  <w:footnote w:type="continuationSeparator" w:id="0">
    <w:p w:rsidR="00DF047C" w:rsidRDefault="00DF047C" w:rsidP="00A3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47C" w:rsidRDefault="00DF047C" w:rsidP="00A3415F">
    <w:pPr>
      <w:pStyle w:val="Header"/>
      <w:jc w:val="right"/>
    </w:pPr>
    <w:r>
      <w:t>Date: ………………………….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5F"/>
    <w:rsid w:val="0043591D"/>
    <w:rsid w:val="004D4E1A"/>
    <w:rsid w:val="00520A2F"/>
    <w:rsid w:val="005B0014"/>
    <w:rsid w:val="006F464F"/>
    <w:rsid w:val="00723B66"/>
    <w:rsid w:val="00A3415F"/>
    <w:rsid w:val="00B374CE"/>
    <w:rsid w:val="00BC5AE1"/>
    <w:rsid w:val="00D3173F"/>
    <w:rsid w:val="00DF047C"/>
    <w:rsid w:val="00E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7B0FD5-12E3-493F-B0C9-E9A9D8B0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415F"/>
    <w:pPr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15F"/>
    <w:rPr>
      <w:rFonts w:ascii="Times New Roman" w:eastAsia="Times New Roman" w:hAnsi="Times New Roman" w:cs="Times New Roman"/>
      <w:b/>
      <w:bCs/>
      <w:color w:val="0000FF"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34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15F"/>
  </w:style>
  <w:style w:type="paragraph" w:styleId="Footer">
    <w:name w:val="footer"/>
    <w:basedOn w:val="Normal"/>
    <w:link w:val="FooterChar"/>
    <w:uiPriority w:val="99"/>
    <w:unhideWhenUsed/>
    <w:rsid w:val="00A34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896F2850</Template>
  <TotalTime>20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stLeSauvageR01</dc:creator>
  <cp:lastModifiedBy>Rick Le Sauvage</cp:lastModifiedBy>
  <cp:revision>4</cp:revision>
  <dcterms:created xsi:type="dcterms:W3CDTF">2015-10-11T20:14:00Z</dcterms:created>
  <dcterms:modified xsi:type="dcterms:W3CDTF">2015-10-11T20:34:00Z</dcterms:modified>
</cp:coreProperties>
</file>