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10"/>
        <w:gridCol w:w="2468"/>
        <w:gridCol w:w="3626"/>
        <w:gridCol w:w="4874"/>
        <w:gridCol w:w="1364"/>
      </w:tblGrid>
      <w:tr w:rsidR="00663A63" w:rsidRPr="00BA7C93" w:rsidTr="00BA7C93">
        <w:trPr>
          <w:cantSplit/>
          <w:trHeight w:val="841"/>
        </w:trPr>
        <w:tc>
          <w:tcPr>
            <w:tcW w:w="3046" w:type="dxa"/>
            <w:shd w:val="clear" w:color="auto" w:fill="000000" w:themeFill="text1"/>
          </w:tcPr>
          <w:p w:rsidR="00663A63" w:rsidRPr="00BA7C93" w:rsidRDefault="00663A63" w:rsidP="000D287C">
            <w:pPr>
              <w:rPr>
                <w:b/>
                <w:sz w:val="20"/>
                <w:szCs w:val="20"/>
              </w:rPr>
            </w:pPr>
            <w:r w:rsidRPr="00BA7C93">
              <w:rPr>
                <w:b/>
                <w:sz w:val="20"/>
                <w:szCs w:val="20"/>
              </w:rPr>
              <w:t xml:space="preserve">A) </w:t>
            </w:r>
            <w:r w:rsidR="003275B3" w:rsidRPr="00BA7C93">
              <w:rPr>
                <w:b/>
                <w:sz w:val="20"/>
                <w:szCs w:val="20"/>
              </w:rPr>
              <w:t>KEY INFO / STRUCTURE</w:t>
            </w:r>
          </w:p>
        </w:tc>
        <w:tc>
          <w:tcPr>
            <w:tcW w:w="2478" w:type="dxa"/>
            <w:gridSpan w:val="2"/>
            <w:shd w:val="clear" w:color="auto" w:fill="000000" w:themeFill="text1"/>
          </w:tcPr>
          <w:p w:rsidR="00663A63" w:rsidRPr="00BA7C93" w:rsidRDefault="003275B3" w:rsidP="000D287C">
            <w:pPr>
              <w:rPr>
                <w:sz w:val="20"/>
                <w:szCs w:val="20"/>
              </w:rPr>
            </w:pPr>
            <w:r w:rsidRPr="00BA7C93">
              <w:rPr>
                <w:b/>
                <w:sz w:val="20"/>
                <w:szCs w:val="20"/>
              </w:rPr>
              <w:t>B) TECHNIQUES</w:t>
            </w:r>
          </w:p>
        </w:tc>
        <w:tc>
          <w:tcPr>
            <w:tcW w:w="3626" w:type="dxa"/>
            <w:shd w:val="clear" w:color="auto" w:fill="000000" w:themeFill="text1"/>
          </w:tcPr>
          <w:p w:rsidR="00663A63" w:rsidRPr="00BA7C93" w:rsidRDefault="0042033B" w:rsidP="000D287C">
            <w:pPr>
              <w:rPr>
                <w:b/>
                <w:sz w:val="20"/>
                <w:szCs w:val="20"/>
              </w:rPr>
            </w:pPr>
            <w:r w:rsidRPr="00BA7C93">
              <w:rPr>
                <w:b/>
                <w:sz w:val="20"/>
                <w:szCs w:val="20"/>
              </w:rPr>
              <w:t xml:space="preserve">C) </w:t>
            </w:r>
            <w:r w:rsidR="003275B3" w:rsidRPr="00BA7C93">
              <w:rPr>
                <w:b/>
                <w:sz w:val="20"/>
                <w:szCs w:val="20"/>
              </w:rPr>
              <w:t>QUOTATIONS</w:t>
            </w:r>
          </w:p>
        </w:tc>
        <w:tc>
          <w:tcPr>
            <w:tcW w:w="4874" w:type="dxa"/>
            <w:shd w:val="clear" w:color="auto" w:fill="000000" w:themeFill="text1"/>
          </w:tcPr>
          <w:p w:rsidR="00663A63" w:rsidRPr="00BA7C93" w:rsidRDefault="008C12CE" w:rsidP="000D287C">
            <w:pPr>
              <w:rPr>
                <w:b/>
                <w:sz w:val="20"/>
                <w:szCs w:val="20"/>
              </w:rPr>
            </w:pPr>
            <w:r w:rsidRPr="00BA7C93">
              <w:rPr>
                <w:b/>
                <w:sz w:val="20"/>
                <w:szCs w:val="20"/>
              </w:rPr>
              <w:t xml:space="preserve">C) </w:t>
            </w:r>
            <w:r w:rsidR="003275B3" w:rsidRPr="00BA7C93">
              <w:rPr>
                <w:b/>
                <w:sz w:val="20"/>
                <w:szCs w:val="20"/>
              </w:rPr>
              <w:t>EFFECTS AND KEY VOCABULARY</w:t>
            </w:r>
          </w:p>
        </w:tc>
        <w:tc>
          <w:tcPr>
            <w:tcW w:w="1364" w:type="dxa"/>
            <w:vMerge w:val="restart"/>
            <w:shd w:val="clear" w:color="auto" w:fill="000000" w:themeFill="text1"/>
            <w:textDirection w:val="tbRl"/>
          </w:tcPr>
          <w:p w:rsidR="00663A63" w:rsidRPr="00BA7C93" w:rsidRDefault="00590E94" w:rsidP="000D287C">
            <w:pPr>
              <w:ind w:left="113" w:right="113"/>
              <w:rPr>
                <w:color w:val="FFFFFF" w:themeColor="background1"/>
                <w:sz w:val="20"/>
                <w:szCs w:val="20"/>
              </w:rPr>
            </w:pPr>
            <w:r w:rsidRPr="00BA7C93">
              <w:rPr>
                <w:color w:val="FFFFFF" w:themeColor="background1"/>
                <w:sz w:val="72"/>
                <w:szCs w:val="20"/>
              </w:rPr>
              <w:t>EXPLORERS OR BOYS…?</w:t>
            </w:r>
            <w:r w:rsidR="008C12CE" w:rsidRPr="00BA7C93">
              <w:rPr>
                <w:color w:val="FFFFFF" w:themeColor="background1"/>
                <w:sz w:val="72"/>
                <w:szCs w:val="20"/>
              </w:rPr>
              <w:t xml:space="preserve"> </w:t>
            </w:r>
          </w:p>
          <w:p w:rsidR="00590E94" w:rsidRPr="00BA7C93" w:rsidRDefault="00590E94" w:rsidP="000D287C">
            <w:pPr>
              <w:ind w:left="113" w:right="113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8C12CE" w:rsidRPr="00BA7C93" w:rsidTr="00BA7C93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Pr="00BA7C93" w:rsidRDefault="008C12CE" w:rsidP="000D287C">
            <w:pPr>
              <w:rPr>
                <w:sz w:val="20"/>
                <w:szCs w:val="20"/>
              </w:rPr>
            </w:pPr>
            <w:r w:rsidRPr="00BA7C93">
              <w:rPr>
                <w:b/>
                <w:sz w:val="20"/>
                <w:szCs w:val="20"/>
              </w:rPr>
              <w:t xml:space="preserve">Text type / narrative voice: </w:t>
            </w:r>
            <w:r w:rsidRPr="00BA7C93">
              <w:rPr>
                <w:b/>
                <w:sz w:val="20"/>
                <w:szCs w:val="20"/>
              </w:rPr>
              <w:br/>
            </w:r>
            <w:r w:rsidRPr="00BA7C93">
              <w:rPr>
                <w:b/>
                <w:sz w:val="20"/>
                <w:szCs w:val="20"/>
              </w:rPr>
              <w:br/>
            </w:r>
            <w:r w:rsidR="00590E94" w:rsidRPr="00BA7C93">
              <w:rPr>
                <w:sz w:val="20"/>
                <w:szCs w:val="20"/>
              </w:rPr>
              <w:t xml:space="preserve">Adapted from an article </w:t>
            </w:r>
            <w:r w:rsidR="000D287C" w:rsidRPr="00BA7C93">
              <w:rPr>
                <w:sz w:val="20"/>
                <w:szCs w:val="20"/>
              </w:rPr>
              <w:t xml:space="preserve">in </w:t>
            </w:r>
            <w:r w:rsidR="00590E94" w:rsidRPr="00BA7C93">
              <w:rPr>
                <w:i/>
                <w:sz w:val="20"/>
                <w:szCs w:val="20"/>
              </w:rPr>
              <w:t>The Guardian</w:t>
            </w:r>
            <w:r w:rsidR="00590E94" w:rsidRPr="00BA7C93">
              <w:rPr>
                <w:sz w:val="20"/>
                <w:szCs w:val="20"/>
              </w:rPr>
              <w:t xml:space="preserve"> newspaper, 28</w:t>
            </w:r>
            <w:r w:rsidR="00590E94" w:rsidRPr="00BA7C93">
              <w:rPr>
                <w:sz w:val="20"/>
                <w:szCs w:val="20"/>
                <w:vertAlign w:val="superscript"/>
              </w:rPr>
              <w:t>th</w:t>
            </w:r>
            <w:r w:rsidR="00590E94" w:rsidRPr="00BA7C93">
              <w:rPr>
                <w:sz w:val="20"/>
                <w:szCs w:val="20"/>
              </w:rPr>
              <w:t xml:space="preserve"> Jan</w:t>
            </w:r>
            <w:r w:rsidR="000D287C" w:rsidRPr="00BA7C93">
              <w:rPr>
                <w:sz w:val="20"/>
                <w:szCs w:val="20"/>
              </w:rPr>
              <w:t>uary</w:t>
            </w:r>
            <w:r w:rsidR="00590E94" w:rsidRPr="00BA7C93">
              <w:rPr>
                <w:sz w:val="20"/>
                <w:szCs w:val="20"/>
              </w:rPr>
              <w:t xml:space="preserve"> 2003</w:t>
            </w:r>
            <w:r w:rsidR="000D287C" w:rsidRPr="00BA7C93">
              <w:rPr>
                <w:sz w:val="20"/>
                <w:szCs w:val="20"/>
              </w:rPr>
              <w:t xml:space="preserve"> – biased piece on a rescue mission </w:t>
            </w:r>
            <w:r w:rsidR="00BA7C93">
              <w:rPr>
                <w:sz w:val="20"/>
                <w:szCs w:val="20"/>
              </w:rPr>
              <w:t>centred</w:t>
            </w:r>
            <w:r w:rsidR="000D287C" w:rsidRPr="00BA7C93">
              <w:rPr>
                <w:sz w:val="20"/>
                <w:szCs w:val="20"/>
              </w:rPr>
              <w:t xml:space="preserve"> around two experienced explorers</w:t>
            </w:r>
          </w:p>
          <w:p w:rsidR="00E220AB" w:rsidRPr="00BA7C93" w:rsidRDefault="00E220AB" w:rsidP="000D287C">
            <w:pPr>
              <w:rPr>
                <w:sz w:val="20"/>
                <w:szCs w:val="20"/>
              </w:rPr>
            </w:pPr>
          </w:p>
          <w:p w:rsidR="00E220AB" w:rsidRPr="00BA7C93" w:rsidRDefault="00E220AB" w:rsidP="000D287C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BE0CC8" w:rsidRPr="00BA7C93" w:rsidRDefault="00FF739A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>1</w:t>
            </w:r>
            <w:r w:rsidR="00913436" w:rsidRPr="00BA7C93">
              <w:rPr>
                <w:sz w:val="20"/>
                <w:szCs w:val="20"/>
              </w:rPr>
              <w:t>.</w:t>
            </w:r>
            <w:r w:rsidR="00913436" w:rsidRPr="00BA7C93">
              <w:rPr>
                <w:b/>
                <w:sz w:val="20"/>
                <w:szCs w:val="20"/>
              </w:rPr>
              <w:t xml:space="preserve"> </w:t>
            </w:r>
            <w:r w:rsidR="00590E94" w:rsidRPr="00BA7C93">
              <w:rPr>
                <w:b/>
                <w:sz w:val="20"/>
                <w:szCs w:val="20"/>
              </w:rPr>
              <w:t>Headline</w:t>
            </w:r>
            <w:r w:rsidR="00590E94" w:rsidRPr="00BA7C93">
              <w:rPr>
                <w:sz w:val="20"/>
                <w:szCs w:val="20"/>
              </w:rPr>
              <w:t xml:space="preserve"> ridicules the two men</w:t>
            </w:r>
          </w:p>
        </w:tc>
        <w:tc>
          <w:tcPr>
            <w:tcW w:w="3626" w:type="dxa"/>
          </w:tcPr>
          <w:p w:rsidR="008C12CE" w:rsidRPr="00BA7C93" w:rsidRDefault="00590E94" w:rsidP="000D287C">
            <w:pPr>
              <w:rPr>
                <w:i/>
                <w:sz w:val="20"/>
                <w:szCs w:val="20"/>
              </w:rPr>
            </w:pPr>
            <w:r w:rsidRPr="00BA7C93">
              <w:rPr>
                <w:i/>
                <w:sz w:val="20"/>
                <w:szCs w:val="20"/>
              </w:rPr>
              <w:t>“</w:t>
            </w:r>
            <w:r w:rsidRPr="00BA7C93">
              <w:rPr>
                <w:i/>
                <w:sz w:val="20"/>
                <w:szCs w:val="20"/>
              </w:rPr>
              <w:t>Explorers, or boys messing</w:t>
            </w:r>
            <w:r w:rsidRPr="00BA7C93">
              <w:rPr>
                <w:i/>
                <w:sz w:val="20"/>
                <w:szCs w:val="20"/>
              </w:rPr>
              <w:t xml:space="preserve"> </w:t>
            </w:r>
            <w:r w:rsidRPr="00BA7C93">
              <w:rPr>
                <w:i/>
                <w:sz w:val="20"/>
                <w:szCs w:val="20"/>
              </w:rPr>
              <w:t>about? Either way, taxpayer gets</w:t>
            </w:r>
            <w:r w:rsidRPr="00BA7C93">
              <w:rPr>
                <w:i/>
                <w:sz w:val="20"/>
                <w:szCs w:val="20"/>
              </w:rPr>
              <w:t xml:space="preserve"> </w:t>
            </w:r>
            <w:r w:rsidRPr="00BA7C93">
              <w:rPr>
                <w:i/>
                <w:sz w:val="20"/>
                <w:szCs w:val="20"/>
              </w:rPr>
              <w:t>rescue bill</w:t>
            </w:r>
            <w:r w:rsidRPr="00BA7C93">
              <w:rPr>
                <w:i/>
                <w:sz w:val="20"/>
                <w:szCs w:val="20"/>
              </w:rPr>
              <w:t>”</w:t>
            </w:r>
          </w:p>
        </w:tc>
        <w:tc>
          <w:tcPr>
            <w:tcW w:w="4874" w:type="dxa"/>
            <w:vMerge w:val="restart"/>
          </w:tcPr>
          <w:p w:rsidR="008C12CE" w:rsidRPr="00BA7C93" w:rsidRDefault="00BE0CC8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 xml:space="preserve">The </w:t>
            </w:r>
            <w:r w:rsidR="004028CC" w:rsidRPr="00BA7C93">
              <w:rPr>
                <w:sz w:val="20"/>
                <w:szCs w:val="20"/>
              </w:rPr>
              <w:t xml:space="preserve">headline uses </w:t>
            </w:r>
            <w:r w:rsidR="004028CC" w:rsidRPr="00BA7C93">
              <w:rPr>
                <w:b/>
                <w:sz w:val="20"/>
                <w:szCs w:val="20"/>
              </w:rPr>
              <w:t>contrast</w:t>
            </w:r>
            <w:r w:rsidR="004028CC" w:rsidRPr="00BA7C93">
              <w:rPr>
                <w:sz w:val="20"/>
                <w:szCs w:val="20"/>
              </w:rPr>
              <w:t xml:space="preserve"> to ridicule the men as they aren’t successful</w:t>
            </w:r>
            <w:r w:rsidR="004028CC" w:rsidRPr="00BA7C93">
              <w:rPr>
                <w:sz w:val="20"/>
                <w:szCs w:val="20"/>
              </w:rPr>
              <w:t xml:space="preserve"> </w:t>
            </w:r>
            <w:r w:rsidR="004028CC" w:rsidRPr="00BA7C93">
              <w:rPr>
                <w:sz w:val="20"/>
                <w:szCs w:val="20"/>
              </w:rPr>
              <w:t>“explorers”</w:t>
            </w:r>
            <w:r w:rsidR="004028CC" w:rsidRPr="00BA7C93">
              <w:rPr>
                <w:sz w:val="20"/>
                <w:szCs w:val="20"/>
              </w:rPr>
              <w:t>,</w:t>
            </w:r>
            <w:r w:rsidR="004028CC" w:rsidRPr="00BA7C93">
              <w:rPr>
                <w:sz w:val="20"/>
                <w:szCs w:val="20"/>
              </w:rPr>
              <w:t xml:space="preserve"> instead </w:t>
            </w:r>
            <w:r w:rsidR="004028CC" w:rsidRPr="00BA7C93">
              <w:rPr>
                <w:sz w:val="20"/>
                <w:szCs w:val="20"/>
              </w:rPr>
              <w:t xml:space="preserve">insinuating </w:t>
            </w:r>
            <w:r w:rsidR="004028CC" w:rsidRPr="00BA7C93">
              <w:rPr>
                <w:sz w:val="20"/>
                <w:szCs w:val="20"/>
              </w:rPr>
              <w:t>they are immature boys.</w:t>
            </w:r>
            <w:r w:rsidR="00E220AB" w:rsidRPr="00BA7C93">
              <w:rPr>
                <w:sz w:val="20"/>
                <w:szCs w:val="20"/>
              </w:rPr>
              <w:t xml:space="preserve"> </w:t>
            </w:r>
            <w:r w:rsidR="004028CC" w:rsidRPr="00BA7C93">
              <w:rPr>
                <w:sz w:val="20"/>
                <w:szCs w:val="20"/>
              </w:rPr>
              <w:t xml:space="preserve">Initially positive </w:t>
            </w:r>
            <w:r w:rsidR="004028CC" w:rsidRPr="00BA7C93">
              <w:rPr>
                <w:b/>
                <w:sz w:val="20"/>
                <w:szCs w:val="20"/>
              </w:rPr>
              <w:t>connotations</w:t>
            </w:r>
            <w:r w:rsidR="004028CC" w:rsidRPr="00BA7C93">
              <w:rPr>
                <w:sz w:val="20"/>
                <w:szCs w:val="20"/>
              </w:rPr>
              <w:t xml:space="preserve">, quickly undermined by the derogatory use of ‘boys’ and the belittling / demeaning ‘messing about’.  Note the </w:t>
            </w:r>
            <w:r w:rsidR="001B5EA1" w:rsidRPr="00BA7C93">
              <w:rPr>
                <w:sz w:val="20"/>
                <w:szCs w:val="20"/>
              </w:rPr>
              <w:t>view</w:t>
            </w:r>
            <w:r w:rsidR="004028CC" w:rsidRPr="00BA7C93">
              <w:rPr>
                <w:sz w:val="20"/>
                <w:szCs w:val="20"/>
              </w:rPr>
              <w:t xml:space="preserve"> the author </w:t>
            </w:r>
            <w:r w:rsidR="00E220AB" w:rsidRPr="00BA7C93">
              <w:rPr>
                <w:sz w:val="20"/>
                <w:szCs w:val="20"/>
              </w:rPr>
              <w:t xml:space="preserve">actually agrees with comes last. </w:t>
            </w:r>
            <w:r w:rsidR="004028CC" w:rsidRPr="00BA7C93">
              <w:rPr>
                <w:b/>
                <w:sz w:val="20"/>
                <w:szCs w:val="20"/>
              </w:rPr>
              <w:t>Question</w:t>
            </w:r>
            <w:r w:rsidR="004028CC" w:rsidRPr="00BA7C93">
              <w:rPr>
                <w:sz w:val="20"/>
                <w:szCs w:val="20"/>
              </w:rPr>
              <w:t xml:space="preserve"> used to grab attention p</w:t>
            </w:r>
            <w:r w:rsidR="00E220AB" w:rsidRPr="00BA7C93">
              <w:rPr>
                <w:sz w:val="20"/>
                <w:szCs w:val="20"/>
              </w:rPr>
              <w:t>r</w:t>
            </w:r>
            <w:r w:rsidR="004028CC" w:rsidRPr="00BA7C93">
              <w:rPr>
                <w:sz w:val="20"/>
                <w:szCs w:val="20"/>
              </w:rPr>
              <w:t>ovoke the reader’s interest as they will be a taxpayer</w:t>
            </w:r>
            <w:r w:rsidR="00E220AB" w:rsidRPr="00BA7C93">
              <w:rPr>
                <w:sz w:val="20"/>
                <w:szCs w:val="20"/>
              </w:rPr>
              <w:t>.</w:t>
            </w:r>
            <w:r w:rsidR="004028CC" w:rsidRPr="00BA7C93">
              <w:rPr>
                <w:sz w:val="20"/>
                <w:szCs w:val="20"/>
              </w:rPr>
              <w:t xml:space="preserve"> ‘Either way’ is also dismissive reinforcing the ridicule in the first line. </w:t>
            </w:r>
            <w:r w:rsidR="00E220AB" w:rsidRPr="00BA7C93">
              <w:rPr>
                <w:sz w:val="20"/>
                <w:szCs w:val="20"/>
              </w:rPr>
              <w:t xml:space="preserve">Author’s </w:t>
            </w:r>
            <w:r w:rsidR="00E220AB" w:rsidRPr="00BA7C93">
              <w:rPr>
                <w:b/>
                <w:sz w:val="20"/>
                <w:szCs w:val="20"/>
              </w:rPr>
              <w:t>bias</w:t>
            </w:r>
            <w:r w:rsidR="00E220AB" w:rsidRPr="00BA7C93">
              <w:rPr>
                <w:sz w:val="20"/>
                <w:szCs w:val="20"/>
              </w:rPr>
              <w:t xml:space="preserve"> continues throughout article with use of </w:t>
            </w:r>
            <w:r w:rsidR="00E220AB" w:rsidRPr="00BA7C93">
              <w:rPr>
                <w:b/>
                <w:sz w:val="20"/>
                <w:szCs w:val="20"/>
              </w:rPr>
              <w:t>hyperbole</w:t>
            </w:r>
            <w:r w:rsidR="00E220AB" w:rsidRPr="00BA7C93">
              <w:rPr>
                <w:sz w:val="20"/>
                <w:szCs w:val="20"/>
              </w:rPr>
              <w:t xml:space="preserve"> to describe the mission and an </w:t>
            </w:r>
            <w:r w:rsidR="00E220AB" w:rsidRPr="00BA7C93">
              <w:rPr>
                <w:b/>
                <w:sz w:val="20"/>
                <w:szCs w:val="20"/>
              </w:rPr>
              <w:t>absence of modal verbs and context</w:t>
            </w:r>
            <w:r w:rsidR="00E220AB" w:rsidRPr="00BA7C93">
              <w:rPr>
                <w:sz w:val="20"/>
                <w:szCs w:val="20"/>
              </w:rPr>
              <w:t>, presenting opinion as fact.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Pr="00BA7C93" w:rsidRDefault="008C12CE" w:rsidP="000D287C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8C12CE" w:rsidRPr="00BA7C93" w:rsidTr="00BA7C93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BA7C93" w:rsidRDefault="008C12CE" w:rsidP="000D287C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</w:tcPr>
          <w:p w:rsidR="008C12CE" w:rsidRPr="00BA7C93" w:rsidRDefault="00FF739A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 xml:space="preserve">2. Use of </w:t>
            </w:r>
            <w:r w:rsidR="00913436" w:rsidRPr="00BA7C93">
              <w:rPr>
                <w:b/>
                <w:sz w:val="20"/>
                <w:szCs w:val="20"/>
              </w:rPr>
              <w:t>hyperbole</w:t>
            </w:r>
            <w:r w:rsidR="00C40912" w:rsidRPr="00BA7C93">
              <w:rPr>
                <w:b/>
                <w:sz w:val="20"/>
                <w:szCs w:val="20"/>
              </w:rPr>
              <w:t xml:space="preserve"> </w:t>
            </w:r>
            <w:r w:rsidR="00590E94" w:rsidRPr="00BA7C93">
              <w:rPr>
                <w:sz w:val="20"/>
                <w:szCs w:val="20"/>
              </w:rPr>
              <w:t>to describe the expedition</w:t>
            </w:r>
          </w:p>
        </w:tc>
        <w:tc>
          <w:tcPr>
            <w:tcW w:w="3626" w:type="dxa"/>
          </w:tcPr>
          <w:p w:rsidR="00A459FC" w:rsidRPr="00BA7C93" w:rsidRDefault="00BE0CC8" w:rsidP="000D287C">
            <w:pPr>
              <w:rPr>
                <w:i/>
                <w:sz w:val="20"/>
                <w:szCs w:val="20"/>
              </w:rPr>
            </w:pPr>
            <w:r w:rsidRPr="00BA7C93">
              <w:rPr>
                <w:i/>
                <w:sz w:val="20"/>
                <w:szCs w:val="20"/>
              </w:rPr>
              <w:t>“</w:t>
            </w:r>
            <w:r w:rsidR="00590E94" w:rsidRPr="00BA7C93">
              <w:rPr>
                <w:i/>
                <w:sz w:val="20"/>
                <w:szCs w:val="20"/>
              </w:rPr>
              <w:t>farce</w:t>
            </w:r>
            <w:r w:rsidR="00FF739A" w:rsidRPr="00BA7C93">
              <w:rPr>
                <w:i/>
                <w:sz w:val="20"/>
                <w:szCs w:val="20"/>
              </w:rPr>
              <w:t>”</w:t>
            </w:r>
            <w:r w:rsidR="00590E94" w:rsidRPr="00BA7C93">
              <w:rPr>
                <w:i/>
                <w:sz w:val="20"/>
                <w:szCs w:val="20"/>
              </w:rPr>
              <w:t xml:space="preserve"> (l.1</w:t>
            </w:r>
            <w:r w:rsidR="00980EF2" w:rsidRPr="00BA7C93">
              <w:rPr>
                <w:i/>
                <w:sz w:val="20"/>
                <w:szCs w:val="20"/>
              </w:rPr>
              <w:t>)</w:t>
            </w:r>
            <w:r w:rsidR="00913436" w:rsidRPr="00BA7C93">
              <w:rPr>
                <w:i/>
                <w:sz w:val="20"/>
                <w:szCs w:val="20"/>
              </w:rPr>
              <w:br/>
              <w:t>“</w:t>
            </w:r>
            <w:r w:rsidR="00590E94" w:rsidRPr="00BA7C93">
              <w:rPr>
                <w:i/>
                <w:sz w:val="20"/>
                <w:szCs w:val="20"/>
              </w:rPr>
              <w:t>tragedy</w:t>
            </w:r>
            <w:r w:rsidR="00913436" w:rsidRPr="00BA7C93">
              <w:rPr>
                <w:i/>
                <w:sz w:val="20"/>
                <w:szCs w:val="20"/>
              </w:rPr>
              <w:t>”</w:t>
            </w:r>
            <w:r w:rsidR="00590E94" w:rsidRPr="00BA7C93">
              <w:rPr>
                <w:i/>
                <w:sz w:val="20"/>
                <w:szCs w:val="20"/>
              </w:rPr>
              <w:t>(l.5</w:t>
            </w:r>
            <w:r w:rsidR="00980EF2" w:rsidRPr="00BA7C93">
              <w:rPr>
                <w:i/>
                <w:sz w:val="20"/>
                <w:szCs w:val="20"/>
              </w:rPr>
              <w:t>)</w:t>
            </w:r>
          </w:p>
          <w:p w:rsidR="00590E94" w:rsidRPr="00BA7C93" w:rsidRDefault="00590E94" w:rsidP="000D287C">
            <w:pPr>
              <w:rPr>
                <w:i/>
                <w:sz w:val="20"/>
                <w:szCs w:val="20"/>
              </w:rPr>
            </w:pPr>
            <w:r w:rsidRPr="00BA7C93">
              <w:rPr>
                <w:i/>
                <w:sz w:val="20"/>
                <w:szCs w:val="20"/>
              </w:rPr>
              <w:t>“drama”(l.19)</w:t>
            </w:r>
          </w:p>
        </w:tc>
        <w:tc>
          <w:tcPr>
            <w:tcW w:w="4874" w:type="dxa"/>
            <w:vMerge/>
          </w:tcPr>
          <w:p w:rsidR="008C12CE" w:rsidRPr="00BA7C93" w:rsidRDefault="008C12CE" w:rsidP="000D287C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Pr="00BA7C93" w:rsidRDefault="008C12CE" w:rsidP="000D287C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A53E72" w:rsidRPr="00BA7C93" w:rsidTr="00BA7C93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A53E72" w:rsidRPr="00BA7C93" w:rsidRDefault="00A53E72" w:rsidP="000D287C">
            <w:pPr>
              <w:rPr>
                <w:b/>
                <w:sz w:val="20"/>
                <w:szCs w:val="20"/>
              </w:rPr>
            </w:pPr>
            <w:r w:rsidRPr="00BA7C93">
              <w:rPr>
                <w:b/>
                <w:sz w:val="20"/>
                <w:szCs w:val="20"/>
              </w:rPr>
              <w:t xml:space="preserve">Structure of the piece: </w:t>
            </w:r>
          </w:p>
          <w:p w:rsidR="00657B57" w:rsidRPr="00BA7C93" w:rsidRDefault="00657B57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>Alternates between storytelling and opinion.</w:t>
            </w:r>
          </w:p>
          <w:p w:rsidR="00A53E72" w:rsidRPr="00BA7C93" w:rsidRDefault="00657B57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>l</w:t>
            </w:r>
            <w:r w:rsidR="00A53E72" w:rsidRPr="00BA7C93">
              <w:rPr>
                <w:sz w:val="20"/>
                <w:szCs w:val="20"/>
              </w:rPr>
              <w:t xml:space="preserve">.1-3 </w:t>
            </w:r>
            <w:r w:rsidRPr="00BA7C93">
              <w:rPr>
                <w:sz w:val="20"/>
                <w:szCs w:val="20"/>
              </w:rPr>
              <w:t>Overview of story and opinion</w:t>
            </w:r>
          </w:p>
          <w:p w:rsidR="00A53E72" w:rsidRPr="00BA7C93" w:rsidRDefault="00A53E72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>l.</w:t>
            </w:r>
            <w:r w:rsidR="00657B57" w:rsidRPr="00BA7C93">
              <w:rPr>
                <w:sz w:val="20"/>
                <w:szCs w:val="20"/>
              </w:rPr>
              <w:t>4-9</w:t>
            </w:r>
            <w:r w:rsidRPr="00BA7C93">
              <w:rPr>
                <w:sz w:val="20"/>
                <w:szCs w:val="20"/>
              </w:rPr>
              <w:t xml:space="preserve"> </w:t>
            </w:r>
            <w:r w:rsidR="00657B57" w:rsidRPr="00BA7C93">
              <w:rPr>
                <w:sz w:val="20"/>
                <w:szCs w:val="20"/>
              </w:rPr>
              <w:t>Story - who, what and where events took place</w:t>
            </w:r>
          </w:p>
          <w:p w:rsidR="00A53E72" w:rsidRPr="00BA7C93" w:rsidRDefault="00A53E72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>l.</w:t>
            </w:r>
            <w:r w:rsidR="00657B57" w:rsidRPr="00BA7C93">
              <w:rPr>
                <w:sz w:val="20"/>
                <w:szCs w:val="20"/>
              </w:rPr>
              <w:t>10-18 Opinion on their expedition and how well thought out it was</w:t>
            </w:r>
          </w:p>
          <w:p w:rsidR="00A53E72" w:rsidRPr="00BA7C93" w:rsidRDefault="00A53E72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>l.</w:t>
            </w:r>
            <w:r w:rsidR="00657B57" w:rsidRPr="00BA7C93">
              <w:rPr>
                <w:sz w:val="20"/>
                <w:szCs w:val="20"/>
              </w:rPr>
              <w:t>19-32</w:t>
            </w:r>
            <w:r w:rsidRPr="00BA7C93">
              <w:rPr>
                <w:sz w:val="20"/>
                <w:szCs w:val="20"/>
              </w:rPr>
              <w:t xml:space="preserve"> </w:t>
            </w:r>
            <w:r w:rsidR="00657B57" w:rsidRPr="00BA7C93">
              <w:rPr>
                <w:sz w:val="20"/>
                <w:szCs w:val="20"/>
              </w:rPr>
              <w:t>Story – how the men ended up stranded and how the rescue was launched</w:t>
            </w:r>
          </w:p>
          <w:p w:rsidR="00657B57" w:rsidRPr="00BA7C93" w:rsidRDefault="00657B57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>l.36-45 Positive presentation of their history as explorers</w:t>
            </w:r>
          </w:p>
          <w:p w:rsidR="00657B57" w:rsidRPr="00BA7C93" w:rsidRDefault="00657B57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>l.45-55 Negative presentation of their history as explorers</w:t>
            </w:r>
          </w:p>
          <w:p w:rsidR="00657B57" w:rsidRPr="00BA7C93" w:rsidRDefault="00657B57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>l.60-69 Consequences of their actions</w:t>
            </w:r>
          </w:p>
        </w:tc>
        <w:tc>
          <w:tcPr>
            <w:tcW w:w="2468" w:type="dxa"/>
          </w:tcPr>
          <w:p w:rsidR="00A53E72" w:rsidRPr="00BA7C93" w:rsidRDefault="00A53E72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>3.</w:t>
            </w:r>
            <w:r w:rsidRPr="00BA7C93">
              <w:rPr>
                <w:b/>
                <w:sz w:val="20"/>
                <w:szCs w:val="20"/>
              </w:rPr>
              <w:t xml:space="preserve"> Facts</w:t>
            </w:r>
            <w:r w:rsidRPr="00BA7C93">
              <w:rPr>
                <w:sz w:val="20"/>
                <w:szCs w:val="20"/>
              </w:rPr>
              <w:t xml:space="preserve"> and </w:t>
            </w:r>
            <w:r w:rsidRPr="00BA7C93">
              <w:rPr>
                <w:b/>
                <w:sz w:val="20"/>
                <w:szCs w:val="20"/>
              </w:rPr>
              <w:t>figures</w:t>
            </w:r>
            <w:r w:rsidRPr="00BA7C93">
              <w:rPr>
                <w:sz w:val="20"/>
                <w:szCs w:val="20"/>
              </w:rPr>
              <w:t xml:space="preserve"> to emphasise lack of good sense and judgement</w:t>
            </w:r>
            <w:r w:rsidRPr="00BA7C93">
              <w:rPr>
                <w:sz w:val="20"/>
                <w:szCs w:val="20"/>
              </w:rPr>
              <w:br/>
            </w:r>
          </w:p>
        </w:tc>
        <w:tc>
          <w:tcPr>
            <w:tcW w:w="3626" w:type="dxa"/>
          </w:tcPr>
          <w:p w:rsidR="00A53E72" w:rsidRPr="00BA7C93" w:rsidRDefault="00A53E72" w:rsidP="000D287C">
            <w:pPr>
              <w:rPr>
                <w:i/>
                <w:sz w:val="20"/>
                <w:szCs w:val="20"/>
              </w:rPr>
            </w:pPr>
            <w:r w:rsidRPr="00BA7C93">
              <w:rPr>
                <w:i/>
                <w:sz w:val="20"/>
                <w:szCs w:val="20"/>
              </w:rPr>
              <w:t>“nine hour rescue” (l.6)</w:t>
            </w:r>
            <w:r w:rsidRPr="00BA7C93">
              <w:rPr>
                <w:i/>
                <w:sz w:val="20"/>
                <w:szCs w:val="20"/>
              </w:rPr>
              <w:br/>
              <w:t>“tens of thousands of pounds”(l.11)</w:t>
            </w:r>
            <w:r w:rsidRPr="00BA7C93">
              <w:rPr>
                <w:i/>
                <w:sz w:val="20"/>
                <w:szCs w:val="20"/>
              </w:rPr>
              <w:br/>
              <w:t>“four-seater Robinson R44 has a single engine”(l.12)</w:t>
            </w:r>
          </w:p>
        </w:tc>
        <w:tc>
          <w:tcPr>
            <w:tcW w:w="4874" w:type="dxa"/>
            <w:vMerge w:val="restart"/>
          </w:tcPr>
          <w:p w:rsidR="00A53E72" w:rsidRPr="00BA7C93" w:rsidRDefault="00A53E72" w:rsidP="000D287C">
            <w:pPr>
              <w:rPr>
                <w:sz w:val="20"/>
                <w:szCs w:val="20"/>
              </w:rPr>
            </w:pPr>
            <w:r w:rsidRPr="00BA7C93">
              <w:rPr>
                <w:b/>
                <w:sz w:val="20"/>
                <w:szCs w:val="20"/>
              </w:rPr>
              <w:t>Facts</w:t>
            </w:r>
            <w:r w:rsidRPr="00BA7C93">
              <w:rPr>
                <w:sz w:val="20"/>
                <w:szCs w:val="20"/>
              </w:rPr>
              <w:t xml:space="preserve"> and figures are used to give the article credibility, when really </w:t>
            </w:r>
            <w:r w:rsidRPr="00BA7C93">
              <w:rPr>
                <w:b/>
                <w:sz w:val="20"/>
                <w:szCs w:val="20"/>
              </w:rPr>
              <w:t>opinion</w:t>
            </w:r>
            <w:r w:rsidRPr="00BA7C93">
              <w:rPr>
                <w:sz w:val="20"/>
                <w:szCs w:val="20"/>
              </w:rPr>
              <w:t xml:space="preserve"> about the </w:t>
            </w:r>
            <w:r w:rsidR="00BA7C93" w:rsidRPr="00BA7C93">
              <w:rPr>
                <w:sz w:val="20"/>
                <w:szCs w:val="20"/>
              </w:rPr>
              <w:t>men’s</w:t>
            </w:r>
            <w:r w:rsidRPr="00BA7C93">
              <w:rPr>
                <w:sz w:val="20"/>
                <w:szCs w:val="20"/>
              </w:rPr>
              <w:t xml:space="preserve">’ behaviour is being presented as fact. </w:t>
            </w:r>
            <w:proofErr w:type="spellStart"/>
            <w:r w:rsidRPr="00BA7C93">
              <w:rPr>
                <w:b/>
                <w:sz w:val="20"/>
                <w:szCs w:val="20"/>
              </w:rPr>
              <w:t>Polysyndeton</w:t>
            </w:r>
            <w:proofErr w:type="spellEnd"/>
            <w:r w:rsidRPr="00BA7C93">
              <w:rPr>
                <w:sz w:val="20"/>
                <w:szCs w:val="20"/>
              </w:rPr>
              <w:t xml:space="preserve"> used to form a list of exotic locations creating some sense of expertise but, given the frequent disasters, this begins to come across as excessive or eccentric - especially the honeymoon – suggesting the men have a strange predilection for danger and are disaster-prone. Facts about their past expeditions are twisted to suit the writer’s opinion.</w:t>
            </w:r>
            <w:r w:rsidR="0083663F" w:rsidRPr="00BA7C93">
              <w:rPr>
                <w:sz w:val="20"/>
                <w:szCs w:val="20"/>
              </w:rPr>
              <w:t xml:space="preserve"> </w:t>
            </w:r>
            <w:r w:rsidR="00657B57" w:rsidRPr="00BA7C93">
              <w:rPr>
                <w:sz w:val="20"/>
                <w:szCs w:val="20"/>
              </w:rPr>
              <w:t xml:space="preserve">The use of a specific expert with credentials give the article </w:t>
            </w:r>
            <w:r w:rsidR="00657B57" w:rsidRPr="00BA7C93">
              <w:rPr>
                <w:b/>
                <w:sz w:val="20"/>
                <w:szCs w:val="20"/>
              </w:rPr>
              <w:t>credibility</w:t>
            </w:r>
            <w:r w:rsidR="00657B57" w:rsidRPr="00BA7C93">
              <w:rPr>
                <w:sz w:val="20"/>
                <w:szCs w:val="20"/>
              </w:rPr>
              <w:t>, however only one expert is cited and his views match those of the writer</w:t>
            </w:r>
            <w:r w:rsidR="000D287C" w:rsidRPr="00BA7C93">
              <w:rPr>
                <w:sz w:val="20"/>
                <w:szCs w:val="20"/>
              </w:rPr>
              <w:t>.</w:t>
            </w:r>
            <w:r w:rsidR="0083663F" w:rsidRPr="00BA7C93">
              <w:rPr>
                <w:sz w:val="20"/>
                <w:szCs w:val="20"/>
              </w:rPr>
              <w:t xml:space="preserve"> The </w:t>
            </w:r>
            <w:r w:rsidR="0083663F" w:rsidRPr="00BA7C93">
              <w:rPr>
                <w:b/>
                <w:sz w:val="20"/>
                <w:szCs w:val="20"/>
              </w:rPr>
              <w:t>implications</w:t>
            </w:r>
            <w:r w:rsidR="0083663F" w:rsidRPr="00BA7C93">
              <w:rPr>
                <w:sz w:val="20"/>
                <w:szCs w:val="20"/>
              </w:rPr>
              <w:t xml:space="preserve"> of the expert quotations is that the men somehow ‘messed up’ and the blame for the situation lies solely with them.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A53E72" w:rsidRPr="00BA7C93" w:rsidRDefault="00A53E72" w:rsidP="000D287C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A53E72" w:rsidRPr="00BA7C93" w:rsidTr="00BA7C93">
        <w:trPr>
          <w:cantSplit/>
          <w:trHeight w:val="777"/>
        </w:trPr>
        <w:tc>
          <w:tcPr>
            <w:tcW w:w="3056" w:type="dxa"/>
            <w:gridSpan w:val="2"/>
            <w:vMerge/>
          </w:tcPr>
          <w:p w:rsidR="00A53E72" w:rsidRPr="00BA7C93" w:rsidRDefault="00A53E72" w:rsidP="000D287C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</w:tcPr>
          <w:p w:rsidR="00A53E72" w:rsidRPr="00BA7C93" w:rsidRDefault="00A53E72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>4</w:t>
            </w:r>
            <w:r w:rsidRPr="00BA7C93">
              <w:rPr>
                <w:sz w:val="20"/>
                <w:szCs w:val="20"/>
              </w:rPr>
              <w:t xml:space="preserve">. Use of </w:t>
            </w:r>
            <w:proofErr w:type="spellStart"/>
            <w:r w:rsidRPr="00BA7C93">
              <w:rPr>
                <w:b/>
                <w:sz w:val="20"/>
                <w:szCs w:val="20"/>
              </w:rPr>
              <w:t>polysyndeton</w:t>
            </w:r>
            <w:proofErr w:type="spellEnd"/>
            <w:r w:rsidRPr="00BA7C93">
              <w:rPr>
                <w:sz w:val="20"/>
                <w:szCs w:val="20"/>
              </w:rPr>
              <w:t xml:space="preserve"> to highlight their experiences as explorers</w:t>
            </w:r>
          </w:p>
        </w:tc>
        <w:tc>
          <w:tcPr>
            <w:tcW w:w="3626" w:type="dxa"/>
          </w:tcPr>
          <w:p w:rsidR="00A53E72" w:rsidRPr="00BA7C93" w:rsidRDefault="00A53E72" w:rsidP="000D287C">
            <w:pPr>
              <w:rPr>
                <w:i/>
                <w:sz w:val="20"/>
                <w:szCs w:val="20"/>
              </w:rPr>
            </w:pPr>
            <w:r w:rsidRPr="00BA7C93">
              <w:rPr>
                <w:i/>
                <w:sz w:val="20"/>
                <w:szCs w:val="20"/>
              </w:rPr>
              <w:t xml:space="preserve">Lines 36-45 </w:t>
            </w:r>
            <w:r w:rsidRPr="00BA7C93">
              <w:rPr>
                <w:i/>
                <w:sz w:val="20"/>
                <w:szCs w:val="20"/>
              </w:rPr>
              <w:br/>
            </w:r>
          </w:p>
        </w:tc>
        <w:tc>
          <w:tcPr>
            <w:tcW w:w="4874" w:type="dxa"/>
            <w:vMerge/>
          </w:tcPr>
          <w:p w:rsidR="00A53E72" w:rsidRPr="00BA7C93" w:rsidRDefault="00A53E72" w:rsidP="000D287C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A53E72" w:rsidRPr="00BA7C93" w:rsidRDefault="00A53E72" w:rsidP="000D287C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A53E72" w:rsidRPr="00BA7C93" w:rsidTr="00BA7C93">
        <w:trPr>
          <w:cantSplit/>
          <w:trHeight w:val="1049"/>
        </w:trPr>
        <w:tc>
          <w:tcPr>
            <w:tcW w:w="3056" w:type="dxa"/>
            <w:gridSpan w:val="2"/>
            <w:vMerge/>
          </w:tcPr>
          <w:p w:rsidR="00A53E72" w:rsidRPr="00BA7C93" w:rsidRDefault="00A53E72" w:rsidP="000D287C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</w:tcPr>
          <w:p w:rsidR="00A53E72" w:rsidRPr="00BA7C93" w:rsidRDefault="00A53E72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>5</w:t>
            </w:r>
            <w:r w:rsidRPr="00BA7C93">
              <w:rPr>
                <w:sz w:val="20"/>
                <w:szCs w:val="20"/>
              </w:rPr>
              <w:t xml:space="preserve">. Use of </w:t>
            </w:r>
            <w:r w:rsidRPr="00BA7C93">
              <w:rPr>
                <w:b/>
                <w:sz w:val="20"/>
                <w:szCs w:val="20"/>
              </w:rPr>
              <w:t>quotations from</w:t>
            </w:r>
            <w:r w:rsidRPr="00BA7C93">
              <w:rPr>
                <w:sz w:val="20"/>
                <w:szCs w:val="20"/>
              </w:rPr>
              <w:t xml:space="preserve"> </w:t>
            </w:r>
            <w:r w:rsidRPr="00BA7C93">
              <w:rPr>
                <w:b/>
                <w:sz w:val="20"/>
                <w:szCs w:val="20"/>
              </w:rPr>
              <w:t xml:space="preserve">experts </w:t>
            </w:r>
            <w:r w:rsidRPr="00BA7C93">
              <w:rPr>
                <w:sz w:val="20"/>
                <w:szCs w:val="20"/>
              </w:rPr>
              <w:t>to emphasise lack of forethought</w:t>
            </w:r>
          </w:p>
        </w:tc>
        <w:tc>
          <w:tcPr>
            <w:tcW w:w="3626" w:type="dxa"/>
          </w:tcPr>
          <w:p w:rsidR="00A53E72" w:rsidRPr="00BA7C93" w:rsidRDefault="00A53E72" w:rsidP="000D287C">
            <w:pPr>
              <w:rPr>
                <w:i/>
                <w:sz w:val="20"/>
                <w:szCs w:val="20"/>
              </w:rPr>
            </w:pPr>
            <w:r w:rsidRPr="00BA7C93">
              <w:rPr>
                <w:i/>
                <w:sz w:val="20"/>
                <w:szCs w:val="20"/>
              </w:rPr>
              <w:t>“Experts questioned the wisdom</w:t>
            </w:r>
            <w:proofErr w:type="gramStart"/>
            <w:r w:rsidRPr="00BA7C93">
              <w:rPr>
                <w:i/>
                <w:sz w:val="20"/>
                <w:szCs w:val="20"/>
              </w:rPr>
              <w:t>..”</w:t>
            </w:r>
            <w:proofErr w:type="gramEnd"/>
            <w:r w:rsidRPr="00BA7C93">
              <w:rPr>
                <w:i/>
                <w:sz w:val="20"/>
                <w:szCs w:val="20"/>
              </w:rPr>
              <w:t xml:space="preserve"> (l.12)</w:t>
            </w:r>
          </w:p>
          <w:p w:rsidR="0083663F" w:rsidRPr="00BA7C93" w:rsidRDefault="0083663F" w:rsidP="000D287C">
            <w:pPr>
              <w:rPr>
                <w:i/>
                <w:sz w:val="20"/>
                <w:szCs w:val="20"/>
              </w:rPr>
            </w:pPr>
            <w:r w:rsidRPr="00BA7C93">
              <w:rPr>
                <w:i/>
                <w:sz w:val="20"/>
                <w:szCs w:val="20"/>
              </w:rPr>
              <w:t>“conditions ha</w:t>
            </w:r>
            <w:r w:rsidR="00BA7C93">
              <w:rPr>
                <w:i/>
                <w:sz w:val="20"/>
                <w:szCs w:val="20"/>
              </w:rPr>
              <w:t>d</w:t>
            </w:r>
            <w:r w:rsidRPr="00BA7C93">
              <w:rPr>
                <w:i/>
                <w:sz w:val="20"/>
                <w:szCs w:val="20"/>
              </w:rPr>
              <w:t xml:space="preserve"> been “excellent”” (l.61)</w:t>
            </w:r>
          </w:p>
          <w:p w:rsidR="00A53E72" w:rsidRPr="00BA7C93" w:rsidRDefault="00A53E72" w:rsidP="000D287C">
            <w:pPr>
              <w:rPr>
                <w:i/>
                <w:sz w:val="20"/>
                <w:szCs w:val="20"/>
              </w:rPr>
            </w:pPr>
            <w:r w:rsidRPr="00BA7C93">
              <w:rPr>
                <w:i/>
                <w:sz w:val="20"/>
                <w:szCs w:val="20"/>
              </w:rPr>
              <w:t xml:space="preserve"> “I wouldn’t use a helicopter </w:t>
            </w:r>
            <w:r w:rsidRPr="00BA7C93">
              <w:rPr>
                <w:i/>
                <w:sz w:val="20"/>
                <w:szCs w:val="20"/>
              </w:rPr>
              <w:t>like that to go so far over the sea.</w:t>
            </w:r>
            <w:r w:rsidRPr="00BA7C93">
              <w:rPr>
                <w:i/>
                <w:sz w:val="20"/>
                <w:szCs w:val="20"/>
              </w:rPr>
              <w:t>”(l.58)</w:t>
            </w:r>
          </w:p>
        </w:tc>
        <w:tc>
          <w:tcPr>
            <w:tcW w:w="4874" w:type="dxa"/>
            <w:vMerge/>
          </w:tcPr>
          <w:p w:rsidR="00A53E72" w:rsidRPr="00BA7C93" w:rsidRDefault="00A53E72" w:rsidP="000D287C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A53E72" w:rsidRPr="00BA7C93" w:rsidRDefault="00A53E72" w:rsidP="000D287C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BA7C93" w:rsidRPr="00BA7C93" w:rsidTr="00BA7C93">
        <w:trPr>
          <w:cantSplit/>
          <w:trHeight w:val="1702"/>
        </w:trPr>
        <w:tc>
          <w:tcPr>
            <w:tcW w:w="3056" w:type="dxa"/>
            <w:gridSpan w:val="2"/>
            <w:vMerge/>
            <w:tcBorders>
              <w:bottom w:val="single" w:sz="4" w:space="0" w:color="auto"/>
            </w:tcBorders>
          </w:tcPr>
          <w:p w:rsidR="00BA7C93" w:rsidRPr="00BA7C93" w:rsidRDefault="00BA7C93" w:rsidP="000D287C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</w:tcPr>
          <w:p w:rsidR="00BA7C93" w:rsidRPr="00BA7C93" w:rsidRDefault="00BA7C93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 xml:space="preserve">6. Use of </w:t>
            </w:r>
            <w:r w:rsidRPr="00BA7C93">
              <w:rPr>
                <w:b/>
                <w:sz w:val="20"/>
                <w:szCs w:val="20"/>
              </w:rPr>
              <w:t>irony</w:t>
            </w:r>
            <w:r w:rsidRPr="00BA7C93">
              <w:rPr>
                <w:sz w:val="20"/>
                <w:szCs w:val="20"/>
              </w:rPr>
              <w:t xml:space="preserve"> and </w:t>
            </w:r>
            <w:r w:rsidRPr="00BA7C93">
              <w:rPr>
                <w:b/>
                <w:sz w:val="20"/>
                <w:szCs w:val="20"/>
              </w:rPr>
              <w:t xml:space="preserve">ironic quotations </w:t>
            </w:r>
            <w:r w:rsidRPr="00BA7C93">
              <w:rPr>
                <w:sz w:val="20"/>
                <w:szCs w:val="20"/>
              </w:rPr>
              <w:t>to ridicule the aims of the mission</w:t>
            </w:r>
          </w:p>
        </w:tc>
        <w:tc>
          <w:tcPr>
            <w:tcW w:w="3626" w:type="dxa"/>
          </w:tcPr>
          <w:p w:rsidR="00BA7C93" w:rsidRPr="00BA7C93" w:rsidRDefault="00BA7C93" w:rsidP="000D287C">
            <w:pPr>
              <w:rPr>
                <w:i/>
                <w:sz w:val="20"/>
                <w:szCs w:val="20"/>
              </w:rPr>
            </w:pPr>
            <w:r w:rsidRPr="00BA7C93">
              <w:rPr>
                <w:i/>
                <w:sz w:val="20"/>
                <w:szCs w:val="20"/>
              </w:rPr>
              <w:t>“trusty helicopter” (l.16)</w:t>
            </w:r>
            <w:r w:rsidRPr="00BA7C93">
              <w:rPr>
                <w:i/>
                <w:sz w:val="20"/>
                <w:szCs w:val="20"/>
              </w:rPr>
              <w:br/>
              <w:t>“boys messing about with a helicopter”(l.18)</w:t>
            </w:r>
          </w:p>
          <w:p w:rsidR="00BA7C93" w:rsidRPr="00BA7C93" w:rsidRDefault="00BA7C93" w:rsidP="000D287C">
            <w:pPr>
              <w:rPr>
                <w:i/>
                <w:sz w:val="20"/>
                <w:szCs w:val="20"/>
              </w:rPr>
            </w:pPr>
            <w:r w:rsidRPr="00BA7C93">
              <w:rPr>
                <w:i/>
                <w:sz w:val="20"/>
                <w:szCs w:val="20"/>
              </w:rPr>
              <w:t>“</w:t>
            </w:r>
            <w:r w:rsidRPr="00BA7C93">
              <w:rPr>
                <w:i/>
                <w:sz w:val="20"/>
                <w:szCs w:val="20"/>
              </w:rPr>
              <w:t>Ironically, one of the aims of the expedition</w:t>
            </w:r>
            <w:r w:rsidRPr="00BA7C93">
              <w:rPr>
                <w:i/>
                <w:sz w:val="20"/>
                <w:szCs w:val="20"/>
              </w:rPr>
              <w:t>… w</w:t>
            </w:r>
            <w:r w:rsidRPr="00BA7C93">
              <w:rPr>
                <w:i/>
                <w:sz w:val="20"/>
                <w:szCs w:val="20"/>
              </w:rPr>
              <w:t>as to demonstrate how good</w:t>
            </w:r>
            <w:r w:rsidRPr="00BA7C93">
              <w:rPr>
                <w:i/>
                <w:sz w:val="20"/>
                <w:szCs w:val="20"/>
              </w:rPr>
              <w:t xml:space="preserve"> </w:t>
            </w:r>
            <w:r w:rsidRPr="00BA7C93">
              <w:rPr>
                <w:i/>
                <w:sz w:val="20"/>
                <w:szCs w:val="20"/>
              </w:rPr>
              <w:t>relations between east and west had become.</w:t>
            </w:r>
            <w:r w:rsidRPr="00BA7C93">
              <w:rPr>
                <w:i/>
                <w:sz w:val="20"/>
                <w:szCs w:val="20"/>
              </w:rPr>
              <w:t>” (l.54)</w:t>
            </w:r>
          </w:p>
        </w:tc>
        <w:tc>
          <w:tcPr>
            <w:tcW w:w="4874" w:type="dxa"/>
            <w:vMerge w:val="restart"/>
          </w:tcPr>
          <w:p w:rsidR="00BA7C93" w:rsidRPr="00BA7C93" w:rsidRDefault="00BA7C93" w:rsidP="00BA7C93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 xml:space="preserve">All quotations given in this article are </w:t>
            </w:r>
            <w:r w:rsidRPr="00BA7C93">
              <w:rPr>
                <w:b/>
                <w:sz w:val="20"/>
                <w:szCs w:val="20"/>
              </w:rPr>
              <w:t>ironic</w:t>
            </w:r>
            <w:r w:rsidRPr="00BA7C93">
              <w:rPr>
                <w:sz w:val="20"/>
                <w:szCs w:val="20"/>
              </w:rPr>
              <w:t xml:space="preserve"> with a derisive, </w:t>
            </w:r>
            <w:r w:rsidRPr="00BA7C93">
              <w:rPr>
                <w:b/>
                <w:sz w:val="20"/>
                <w:szCs w:val="20"/>
              </w:rPr>
              <w:t>mocking tone</w:t>
            </w:r>
            <w:r w:rsidRPr="00BA7C93">
              <w:rPr>
                <w:sz w:val="20"/>
                <w:szCs w:val="20"/>
              </w:rPr>
              <w:t>.</w:t>
            </w:r>
            <w:r w:rsidRPr="00BA7C93">
              <w:rPr>
                <w:sz w:val="20"/>
                <w:szCs w:val="20"/>
              </w:rPr>
              <w:t xml:space="preserve"> Sardonic humour creates connection with the audience so that they (as taxpayers) agree with the writer</w:t>
            </w:r>
            <w:r>
              <w:rPr>
                <w:sz w:val="20"/>
                <w:szCs w:val="20"/>
              </w:rPr>
              <w:t>,</w:t>
            </w:r>
            <w:r w:rsidRPr="00BA7C93">
              <w:rPr>
                <w:sz w:val="20"/>
                <w:szCs w:val="20"/>
              </w:rPr>
              <w:t xml:space="preserve"> that they are indeed having their money wasted in rescuing these men. The image of them as incompetent ‘boys’ is repeated throughout the article, as they are </w:t>
            </w:r>
            <w:r>
              <w:rPr>
                <w:sz w:val="20"/>
                <w:szCs w:val="20"/>
              </w:rPr>
              <w:t>portrayed</w:t>
            </w:r>
            <w:r w:rsidRPr="00BA7C93">
              <w:rPr>
                <w:sz w:val="20"/>
                <w:szCs w:val="20"/>
              </w:rPr>
              <w:t xml:space="preserve"> as men who have nicknames and phone home when they’re in trouble and need assistance. The insinuation of a corporal punishment as a consequence of their actions again </w:t>
            </w:r>
            <w:r>
              <w:rPr>
                <w:sz w:val="20"/>
                <w:szCs w:val="20"/>
              </w:rPr>
              <w:t>ridicules</w:t>
            </w:r>
            <w:r w:rsidRPr="00BA7C93">
              <w:rPr>
                <w:sz w:val="20"/>
                <w:szCs w:val="20"/>
              </w:rPr>
              <w:t xml:space="preserve"> them and reinforces the writer’s opinion of them as “boys”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shd w:val="clear" w:color="auto" w:fill="000000" w:themeFill="text1"/>
            <w:textDirection w:val="tbRl"/>
          </w:tcPr>
          <w:p w:rsidR="00BA7C93" w:rsidRPr="00BA7C93" w:rsidRDefault="00BA7C93" w:rsidP="000D287C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BA7C93" w:rsidRPr="00BA7C93" w:rsidTr="00BA7C93">
        <w:trPr>
          <w:cantSplit/>
          <w:trHeight w:val="418"/>
        </w:trPr>
        <w:tc>
          <w:tcPr>
            <w:tcW w:w="3056" w:type="dxa"/>
            <w:gridSpan w:val="2"/>
            <w:shd w:val="clear" w:color="auto" w:fill="000000" w:themeFill="text1"/>
          </w:tcPr>
          <w:p w:rsidR="00BA7C93" w:rsidRPr="00BA7C93" w:rsidRDefault="00BA7C93" w:rsidP="000D287C">
            <w:pPr>
              <w:rPr>
                <w:sz w:val="20"/>
                <w:szCs w:val="20"/>
              </w:rPr>
            </w:pPr>
            <w:r w:rsidRPr="00BA7C93">
              <w:rPr>
                <w:b/>
                <w:sz w:val="20"/>
                <w:szCs w:val="20"/>
              </w:rPr>
              <w:t xml:space="preserve">Related texts: </w:t>
            </w:r>
            <w:r w:rsidRPr="00BA7C93">
              <w:rPr>
                <w:sz w:val="20"/>
                <w:szCs w:val="20"/>
              </w:rPr>
              <w:t>Between a Rock and a Hard Place, The Explorer’s Daughter</w:t>
            </w:r>
          </w:p>
        </w:tc>
        <w:tc>
          <w:tcPr>
            <w:tcW w:w="2468" w:type="dxa"/>
          </w:tcPr>
          <w:p w:rsidR="00BA7C93" w:rsidRPr="00BA7C93" w:rsidRDefault="00BA7C93" w:rsidP="000D287C">
            <w:pPr>
              <w:rPr>
                <w:sz w:val="20"/>
                <w:szCs w:val="20"/>
              </w:rPr>
            </w:pPr>
            <w:r w:rsidRPr="00BA7C93">
              <w:rPr>
                <w:sz w:val="20"/>
                <w:szCs w:val="20"/>
              </w:rPr>
              <w:t xml:space="preserve">7. Repeated </w:t>
            </w:r>
            <w:r w:rsidRPr="00BA7C93">
              <w:rPr>
                <w:b/>
                <w:sz w:val="20"/>
                <w:szCs w:val="20"/>
              </w:rPr>
              <w:t>imagery</w:t>
            </w:r>
            <w:r w:rsidRPr="00BA7C93">
              <w:rPr>
                <w:sz w:val="20"/>
                <w:szCs w:val="20"/>
              </w:rPr>
              <w:t xml:space="preserve"> of men as boys</w:t>
            </w:r>
          </w:p>
        </w:tc>
        <w:tc>
          <w:tcPr>
            <w:tcW w:w="3626" w:type="dxa"/>
          </w:tcPr>
          <w:p w:rsidR="00BA7C93" w:rsidRPr="00BA7C93" w:rsidRDefault="00BA7C93" w:rsidP="000D287C">
            <w:pPr>
              <w:rPr>
                <w:i/>
                <w:sz w:val="20"/>
                <w:szCs w:val="20"/>
              </w:rPr>
            </w:pPr>
            <w:r w:rsidRPr="00BA7C93">
              <w:rPr>
                <w:i/>
                <w:sz w:val="20"/>
                <w:szCs w:val="20"/>
              </w:rPr>
              <w:t>“also known as Q” (l.20)</w:t>
            </w:r>
            <w:r w:rsidRPr="00BA7C93">
              <w:rPr>
                <w:i/>
                <w:sz w:val="20"/>
                <w:szCs w:val="20"/>
              </w:rPr>
              <w:t xml:space="preserve"> </w:t>
            </w:r>
          </w:p>
          <w:p w:rsidR="00BA7C93" w:rsidRPr="00BA7C93" w:rsidRDefault="00BA7C93" w:rsidP="000D287C">
            <w:pPr>
              <w:rPr>
                <w:i/>
                <w:sz w:val="20"/>
                <w:szCs w:val="20"/>
              </w:rPr>
            </w:pPr>
            <w:r w:rsidRPr="00BA7C93">
              <w:rPr>
                <w:i/>
                <w:sz w:val="20"/>
                <w:szCs w:val="20"/>
              </w:rPr>
              <w:t>“called his wife” (l.22)</w:t>
            </w:r>
          </w:p>
          <w:p w:rsidR="00BA7C93" w:rsidRPr="00BA7C93" w:rsidRDefault="00BA7C93" w:rsidP="000D287C">
            <w:pPr>
              <w:rPr>
                <w:i/>
                <w:sz w:val="20"/>
                <w:szCs w:val="20"/>
              </w:rPr>
            </w:pPr>
            <w:r w:rsidRPr="00BA7C93">
              <w:rPr>
                <w:i/>
                <w:sz w:val="20"/>
                <w:szCs w:val="20"/>
              </w:rPr>
              <w:t>“</w:t>
            </w:r>
            <w:proofErr w:type="gramStart"/>
            <w:r w:rsidRPr="00BA7C93">
              <w:rPr>
                <w:i/>
                <w:sz w:val="20"/>
                <w:szCs w:val="20"/>
              </w:rPr>
              <w:t>they’ll</w:t>
            </w:r>
            <w:proofErr w:type="gramEnd"/>
            <w:r w:rsidRPr="00BA7C93">
              <w:rPr>
                <w:i/>
                <w:sz w:val="20"/>
                <w:szCs w:val="20"/>
              </w:rPr>
              <w:t xml:space="preserve"> probably have their bottoms kicked and be sent home…” (l.68)</w:t>
            </w:r>
          </w:p>
        </w:tc>
        <w:tc>
          <w:tcPr>
            <w:tcW w:w="4874" w:type="dxa"/>
            <w:vMerge/>
          </w:tcPr>
          <w:p w:rsidR="00BA7C93" w:rsidRPr="00BA7C93" w:rsidRDefault="00BA7C93" w:rsidP="000D287C">
            <w:pPr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000000" w:themeFill="text1"/>
            <w:textDirection w:val="tbRl"/>
          </w:tcPr>
          <w:p w:rsidR="00BA7C93" w:rsidRPr="00BA7C93" w:rsidRDefault="00BA7C93" w:rsidP="000D287C">
            <w:pPr>
              <w:ind w:left="113" w:right="113"/>
              <w:rPr>
                <w:sz w:val="20"/>
                <w:szCs w:val="20"/>
              </w:rPr>
            </w:pPr>
          </w:p>
        </w:tc>
      </w:tr>
    </w:tbl>
    <w:p w:rsidR="000C39AF" w:rsidRPr="00BA7C93" w:rsidRDefault="000C39AF" w:rsidP="000D287C">
      <w:pPr>
        <w:spacing w:after="0"/>
        <w:rPr>
          <w:sz w:val="20"/>
          <w:szCs w:val="20"/>
        </w:rPr>
      </w:pPr>
    </w:p>
    <w:sectPr w:rsidR="000C39AF" w:rsidRPr="00BA7C93" w:rsidSect="00810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A7"/>
    <w:rsid w:val="00050035"/>
    <w:rsid w:val="000C39AF"/>
    <w:rsid w:val="000D287C"/>
    <w:rsid w:val="00156484"/>
    <w:rsid w:val="001B5EA1"/>
    <w:rsid w:val="003169E1"/>
    <w:rsid w:val="003275B3"/>
    <w:rsid w:val="004028CC"/>
    <w:rsid w:val="0042033B"/>
    <w:rsid w:val="00425A20"/>
    <w:rsid w:val="00590E94"/>
    <w:rsid w:val="005F5703"/>
    <w:rsid w:val="00656B03"/>
    <w:rsid w:val="00657B57"/>
    <w:rsid w:val="00663A63"/>
    <w:rsid w:val="00687007"/>
    <w:rsid w:val="006C1A75"/>
    <w:rsid w:val="00717EA7"/>
    <w:rsid w:val="00810AA7"/>
    <w:rsid w:val="0083663F"/>
    <w:rsid w:val="008C12CE"/>
    <w:rsid w:val="008D14A8"/>
    <w:rsid w:val="00913436"/>
    <w:rsid w:val="00980EF2"/>
    <w:rsid w:val="00A459FC"/>
    <w:rsid w:val="00A53E72"/>
    <w:rsid w:val="00A966DB"/>
    <w:rsid w:val="00B2054F"/>
    <w:rsid w:val="00B30F71"/>
    <w:rsid w:val="00B60C24"/>
    <w:rsid w:val="00B72EAE"/>
    <w:rsid w:val="00BA2B5A"/>
    <w:rsid w:val="00BA7C93"/>
    <w:rsid w:val="00BB0D21"/>
    <w:rsid w:val="00BE0CC8"/>
    <w:rsid w:val="00C40912"/>
    <w:rsid w:val="00D736C3"/>
    <w:rsid w:val="00D81B48"/>
    <w:rsid w:val="00DF3EE4"/>
    <w:rsid w:val="00E220AB"/>
    <w:rsid w:val="00EE23AE"/>
    <w:rsid w:val="00FA5F17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5AEA5-E50D-42EB-9CD1-7EBFD45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7EE1D8D2</Template>
  <TotalTime>1</TotalTime>
  <Pages>1</Pages>
  <Words>592</Words>
  <Characters>3377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Helen Mauger</cp:lastModifiedBy>
  <cp:revision>2</cp:revision>
  <cp:lastPrinted>2017-05-19T07:29:00Z</cp:lastPrinted>
  <dcterms:created xsi:type="dcterms:W3CDTF">2017-05-22T14:23:00Z</dcterms:created>
  <dcterms:modified xsi:type="dcterms:W3CDTF">2017-05-22T14:23:00Z</dcterms:modified>
</cp:coreProperties>
</file>