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046"/>
        <w:gridCol w:w="10"/>
        <w:gridCol w:w="3043"/>
        <w:gridCol w:w="3051"/>
        <w:gridCol w:w="4874"/>
        <w:gridCol w:w="1364"/>
      </w:tblGrid>
      <w:tr w:rsidR="00663A63" w:rsidRPr="009A46FB" w:rsidTr="0042033B">
        <w:trPr>
          <w:cantSplit/>
          <w:trHeight w:val="841"/>
        </w:trPr>
        <w:tc>
          <w:tcPr>
            <w:tcW w:w="3046" w:type="dxa"/>
            <w:shd w:val="clear" w:color="auto" w:fill="000000" w:themeFill="text1"/>
          </w:tcPr>
          <w:p w:rsidR="00663A63" w:rsidRPr="009A46FB" w:rsidRDefault="00663A63" w:rsidP="003275B3">
            <w:pPr>
              <w:spacing w:before="120" w:after="120"/>
              <w:rPr>
                <w:b/>
              </w:rPr>
            </w:pPr>
            <w:r w:rsidRPr="009A46FB">
              <w:rPr>
                <w:b/>
              </w:rPr>
              <w:t xml:space="preserve">A) </w:t>
            </w:r>
            <w:r w:rsidR="003275B3" w:rsidRPr="009A46FB">
              <w:rPr>
                <w:b/>
              </w:rPr>
              <w:t>KEY INFO / STRUCTURE</w:t>
            </w:r>
          </w:p>
        </w:tc>
        <w:tc>
          <w:tcPr>
            <w:tcW w:w="3053" w:type="dxa"/>
            <w:gridSpan w:val="2"/>
            <w:shd w:val="clear" w:color="auto" w:fill="000000" w:themeFill="text1"/>
          </w:tcPr>
          <w:p w:rsidR="00663A63" w:rsidRPr="009A46FB" w:rsidRDefault="003275B3" w:rsidP="003275B3">
            <w:pPr>
              <w:spacing w:before="120" w:after="120"/>
            </w:pPr>
            <w:r w:rsidRPr="009A46FB">
              <w:rPr>
                <w:b/>
              </w:rPr>
              <w:t>B) TECHNIQUES</w:t>
            </w:r>
          </w:p>
        </w:tc>
        <w:tc>
          <w:tcPr>
            <w:tcW w:w="3051" w:type="dxa"/>
            <w:shd w:val="clear" w:color="auto" w:fill="000000" w:themeFill="text1"/>
          </w:tcPr>
          <w:p w:rsidR="00663A63" w:rsidRPr="009A46FB" w:rsidRDefault="0042033B" w:rsidP="003275B3">
            <w:pPr>
              <w:spacing w:before="120" w:after="120"/>
              <w:rPr>
                <w:b/>
              </w:rPr>
            </w:pPr>
            <w:r w:rsidRPr="009A46FB">
              <w:rPr>
                <w:b/>
              </w:rPr>
              <w:t xml:space="preserve">C) </w:t>
            </w:r>
            <w:r w:rsidR="003275B3" w:rsidRPr="009A46FB">
              <w:rPr>
                <w:b/>
              </w:rPr>
              <w:t>QUOTATIONS</w:t>
            </w:r>
          </w:p>
        </w:tc>
        <w:tc>
          <w:tcPr>
            <w:tcW w:w="4874" w:type="dxa"/>
            <w:shd w:val="clear" w:color="auto" w:fill="000000" w:themeFill="text1"/>
          </w:tcPr>
          <w:p w:rsidR="00663A63" w:rsidRPr="009A46FB" w:rsidRDefault="008C12CE" w:rsidP="003275B3">
            <w:pPr>
              <w:spacing w:before="120" w:after="120"/>
              <w:rPr>
                <w:b/>
              </w:rPr>
            </w:pPr>
            <w:r w:rsidRPr="009A46FB">
              <w:rPr>
                <w:b/>
              </w:rPr>
              <w:t xml:space="preserve">C) </w:t>
            </w:r>
            <w:r w:rsidR="003275B3" w:rsidRPr="009A46FB">
              <w:rPr>
                <w:b/>
              </w:rPr>
              <w:t>EFFECTS AND KEY VOCABULARY</w:t>
            </w:r>
          </w:p>
        </w:tc>
        <w:tc>
          <w:tcPr>
            <w:tcW w:w="1364" w:type="dxa"/>
            <w:vMerge w:val="restart"/>
            <w:shd w:val="clear" w:color="auto" w:fill="000000" w:themeFill="text1"/>
            <w:textDirection w:val="tbRl"/>
          </w:tcPr>
          <w:p w:rsidR="00663A63" w:rsidRPr="009A46FB" w:rsidRDefault="00212852" w:rsidP="00565B60">
            <w:pPr>
              <w:spacing w:before="120" w:after="120"/>
              <w:ind w:left="113" w:right="113"/>
              <w:rPr>
                <w:color w:val="FFFFFF" w:themeColor="background1"/>
                <w:sz w:val="64"/>
                <w:szCs w:val="64"/>
              </w:rPr>
            </w:pPr>
            <w:r w:rsidRPr="009A46FB">
              <w:rPr>
                <w:color w:val="FFFFFF" w:themeColor="background1"/>
              </w:rPr>
              <w:t xml:space="preserve"> </w:t>
            </w:r>
            <w:r w:rsidRPr="009A46FB">
              <w:rPr>
                <w:color w:val="FFFFFF" w:themeColor="background1"/>
                <w:sz w:val="64"/>
                <w:szCs w:val="64"/>
              </w:rPr>
              <w:t>A PASSAGE TO AFRICA</w:t>
            </w:r>
          </w:p>
        </w:tc>
      </w:tr>
      <w:tr w:rsidR="008C12CE" w:rsidRPr="009A46FB" w:rsidTr="0042033B">
        <w:trPr>
          <w:cantSplit/>
          <w:trHeight w:val="1134"/>
        </w:trPr>
        <w:tc>
          <w:tcPr>
            <w:tcW w:w="3056" w:type="dxa"/>
            <w:gridSpan w:val="2"/>
            <w:vMerge w:val="restart"/>
          </w:tcPr>
          <w:p w:rsidR="008C12CE" w:rsidRPr="009A46FB" w:rsidRDefault="00F772CA" w:rsidP="00565B60">
            <w:pPr>
              <w:spacing w:before="120" w:after="120"/>
              <w:rPr>
                <w:b/>
              </w:rPr>
            </w:pPr>
            <w:r w:rsidRPr="009A46FB">
              <w:rPr>
                <w:b/>
              </w:rPr>
              <w:t>Text type / narrative voice</w:t>
            </w:r>
            <w:proofErr w:type="gramStart"/>
            <w:r w:rsidRPr="009A46FB">
              <w:rPr>
                <w:b/>
              </w:rPr>
              <w:t>:</w:t>
            </w:r>
            <w:proofErr w:type="gramEnd"/>
            <w:r w:rsidR="008C12CE" w:rsidRPr="009A46FB">
              <w:rPr>
                <w:b/>
              </w:rPr>
              <w:br/>
            </w:r>
            <w:r w:rsidR="008C12CE" w:rsidRPr="009A46FB">
              <w:t>First person</w:t>
            </w:r>
            <w:r w:rsidR="00212852" w:rsidRPr="009A46FB">
              <w:t xml:space="preserve"> narrative recalling a visit to Somalia</w:t>
            </w:r>
            <w:r w:rsidR="000C26C3" w:rsidRPr="009A46FB">
              <w:t>,</w:t>
            </w:r>
            <w:r w:rsidR="00212852" w:rsidRPr="009A46FB">
              <w:t xml:space="preserve"> </w:t>
            </w:r>
            <w:r w:rsidR="000C26C3" w:rsidRPr="009A46FB">
              <w:t xml:space="preserve">in which </w:t>
            </w:r>
            <w:proofErr w:type="spellStart"/>
            <w:r w:rsidR="000C26C3" w:rsidRPr="009A46FB">
              <w:t>Alagiah</w:t>
            </w:r>
            <w:proofErr w:type="spellEnd"/>
            <w:r w:rsidR="00212852" w:rsidRPr="009A46FB">
              <w:t xml:space="preserve"> </w:t>
            </w:r>
            <w:r w:rsidR="003B6819" w:rsidRPr="009A46FB">
              <w:t>puts both human suffering, and the role of journalists, under the spotlight</w:t>
            </w:r>
            <w:r w:rsidR="000C26C3" w:rsidRPr="009A46FB">
              <w:t>.</w:t>
            </w:r>
          </w:p>
        </w:tc>
        <w:tc>
          <w:tcPr>
            <w:tcW w:w="3043" w:type="dxa"/>
          </w:tcPr>
          <w:p w:rsidR="00BE0CC8" w:rsidRPr="009A46FB" w:rsidRDefault="00FF739A" w:rsidP="00FE2989">
            <w:pPr>
              <w:spacing w:before="120" w:after="120"/>
            </w:pPr>
            <w:r w:rsidRPr="009A46FB">
              <w:t xml:space="preserve">1. </w:t>
            </w:r>
            <w:r w:rsidR="000F69D2" w:rsidRPr="009A46FB">
              <w:rPr>
                <w:b/>
              </w:rPr>
              <w:t xml:space="preserve">List </w:t>
            </w:r>
            <w:r w:rsidR="000F69D2" w:rsidRPr="009A46FB">
              <w:t xml:space="preserve">of </w:t>
            </w:r>
            <w:r w:rsidR="000F69D2" w:rsidRPr="009A46FB">
              <w:rPr>
                <w:b/>
              </w:rPr>
              <w:t>emotive adjectives</w:t>
            </w:r>
          </w:p>
        </w:tc>
        <w:tc>
          <w:tcPr>
            <w:tcW w:w="3051" w:type="dxa"/>
          </w:tcPr>
          <w:p w:rsidR="008C12CE" w:rsidRPr="009A46FB" w:rsidRDefault="00BE0CC8" w:rsidP="000F69D2">
            <w:pPr>
              <w:spacing w:before="120" w:after="120"/>
              <w:rPr>
                <w:i/>
              </w:rPr>
            </w:pPr>
            <w:r w:rsidRPr="009A46FB">
              <w:rPr>
                <w:i/>
              </w:rPr>
              <w:t>“</w:t>
            </w:r>
            <w:r w:rsidR="000F69D2" w:rsidRPr="009A46FB">
              <w:rPr>
                <w:i/>
              </w:rPr>
              <w:t>hungry, lean, scared and betrayed” (l.</w:t>
            </w:r>
            <w:r w:rsidR="00E80E06">
              <w:rPr>
                <w:i/>
              </w:rPr>
              <w:t>1)</w:t>
            </w:r>
          </w:p>
        </w:tc>
        <w:tc>
          <w:tcPr>
            <w:tcW w:w="4874" w:type="dxa"/>
            <w:vMerge w:val="restart"/>
          </w:tcPr>
          <w:p w:rsidR="00F772CA" w:rsidRPr="009A46FB" w:rsidRDefault="00BE0CC8" w:rsidP="00643B39">
            <w:pPr>
              <w:spacing w:before="120" w:after="120"/>
            </w:pPr>
            <w:r w:rsidRPr="009A46FB">
              <w:t xml:space="preserve">The start of the passage establishes </w:t>
            </w:r>
            <w:r w:rsidR="00643B39" w:rsidRPr="009A46FB">
              <w:t>the suffering of the Somali people. However, the most striking feature is the contrast. Tension is created as the reader waits to discover w</w:t>
            </w:r>
            <w:r w:rsidR="00F772CA" w:rsidRPr="009A46FB">
              <w:t>hat makes the face so memorable.</w:t>
            </w:r>
          </w:p>
        </w:tc>
        <w:tc>
          <w:tcPr>
            <w:tcW w:w="1364" w:type="dxa"/>
            <w:vMerge/>
            <w:shd w:val="clear" w:color="auto" w:fill="000000" w:themeFill="text1"/>
            <w:textDirection w:val="tbRl"/>
          </w:tcPr>
          <w:p w:rsidR="008C12CE" w:rsidRPr="009A46FB" w:rsidRDefault="008C12CE" w:rsidP="00663A63">
            <w:pPr>
              <w:spacing w:before="120" w:after="120"/>
              <w:ind w:left="113" w:right="113"/>
            </w:pPr>
          </w:p>
        </w:tc>
      </w:tr>
      <w:tr w:rsidR="008C12CE" w:rsidRPr="009A46FB" w:rsidTr="0042033B">
        <w:trPr>
          <w:cantSplit/>
          <w:trHeight w:val="1134"/>
        </w:trPr>
        <w:tc>
          <w:tcPr>
            <w:tcW w:w="3056" w:type="dxa"/>
            <w:gridSpan w:val="2"/>
            <w:vMerge/>
          </w:tcPr>
          <w:p w:rsidR="008C12CE" w:rsidRPr="009A46FB" w:rsidRDefault="008C12CE" w:rsidP="00663A63">
            <w:pPr>
              <w:spacing w:before="120" w:after="120"/>
            </w:pPr>
          </w:p>
        </w:tc>
        <w:tc>
          <w:tcPr>
            <w:tcW w:w="3043" w:type="dxa"/>
          </w:tcPr>
          <w:p w:rsidR="008C12CE" w:rsidRPr="009A46FB" w:rsidRDefault="00FF739A" w:rsidP="00FE2989">
            <w:pPr>
              <w:spacing w:before="120" w:after="120"/>
            </w:pPr>
            <w:r w:rsidRPr="009A46FB">
              <w:t xml:space="preserve">2. Use of </w:t>
            </w:r>
            <w:r w:rsidR="000F69D2" w:rsidRPr="009A46FB">
              <w:rPr>
                <w:b/>
              </w:rPr>
              <w:t>contrast</w:t>
            </w:r>
            <w:r w:rsidR="006478E4">
              <w:rPr>
                <w:b/>
              </w:rPr>
              <w:t xml:space="preserve"> / synecdoche</w:t>
            </w:r>
            <w:r w:rsidR="00D41462" w:rsidRPr="009A46FB">
              <w:rPr>
                <w:b/>
              </w:rPr>
              <w:br/>
            </w:r>
          </w:p>
        </w:tc>
        <w:tc>
          <w:tcPr>
            <w:tcW w:w="3051" w:type="dxa"/>
          </w:tcPr>
          <w:p w:rsidR="008C12CE" w:rsidRPr="009A46FB" w:rsidRDefault="000F69D2" w:rsidP="00FF739A">
            <w:pPr>
              <w:spacing w:before="120" w:after="120"/>
              <w:rPr>
                <w:i/>
              </w:rPr>
            </w:pPr>
            <w:r w:rsidRPr="009A46FB">
              <w:rPr>
                <w:i/>
              </w:rPr>
              <w:t>“a thousand” (l.1) and “one (face) I will never forget</w:t>
            </w:r>
            <w:r w:rsidR="006A2B5C" w:rsidRPr="009A46FB">
              <w:rPr>
                <w:i/>
              </w:rPr>
              <w:t>” (l.2)</w:t>
            </w:r>
          </w:p>
        </w:tc>
        <w:tc>
          <w:tcPr>
            <w:tcW w:w="4874" w:type="dxa"/>
            <w:vMerge/>
          </w:tcPr>
          <w:p w:rsidR="008C12CE" w:rsidRPr="009A46FB" w:rsidRDefault="008C12CE" w:rsidP="00663A63">
            <w:pPr>
              <w:spacing w:before="120" w:after="120"/>
            </w:pPr>
          </w:p>
        </w:tc>
        <w:tc>
          <w:tcPr>
            <w:tcW w:w="1364" w:type="dxa"/>
            <w:vMerge/>
            <w:shd w:val="clear" w:color="auto" w:fill="000000" w:themeFill="text1"/>
            <w:textDirection w:val="tbRl"/>
          </w:tcPr>
          <w:p w:rsidR="008C12CE" w:rsidRPr="009A46FB" w:rsidRDefault="008C12CE" w:rsidP="00663A63">
            <w:pPr>
              <w:spacing w:before="120" w:after="120"/>
              <w:ind w:left="113" w:right="113"/>
            </w:pPr>
          </w:p>
        </w:tc>
      </w:tr>
      <w:tr w:rsidR="008C12CE" w:rsidRPr="009A46FB" w:rsidTr="0042033B">
        <w:trPr>
          <w:cantSplit/>
          <w:trHeight w:val="1134"/>
        </w:trPr>
        <w:tc>
          <w:tcPr>
            <w:tcW w:w="3056" w:type="dxa"/>
            <w:gridSpan w:val="2"/>
            <w:vMerge w:val="restart"/>
          </w:tcPr>
          <w:p w:rsidR="008C12CE" w:rsidRPr="009A46FB" w:rsidRDefault="008C12CE" w:rsidP="00663A63">
            <w:pPr>
              <w:spacing w:before="120" w:after="120"/>
              <w:rPr>
                <w:b/>
              </w:rPr>
            </w:pPr>
            <w:r w:rsidRPr="009A46FB">
              <w:rPr>
                <w:b/>
              </w:rPr>
              <w:t>Structure</w:t>
            </w:r>
            <w:r w:rsidR="003275B3" w:rsidRPr="009A46FB">
              <w:rPr>
                <w:b/>
              </w:rPr>
              <w:t xml:space="preserve"> of the piece</w:t>
            </w:r>
            <w:r w:rsidRPr="009A46FB">
              <w:rPr>
                <w:b/>
              </w:rPr>
              <w:t xml:space="preserve">: </w:t>
            </w:r>
          </w:p>
          <w:p w:rsidR="008C12CE" w:rsidRPr="009A46FB" w:rsidRDefault="008C12CE" w:rsidP="00663A63">
            <w:pPr>
              <w:spacing w:before="120" w:after="120"/>
            </w:pPr>
            <w:r w:rsidRPr="009A46FB">
              <w:t>l.1-</w:t>
            </w:r>
            <w:r w:rsidR="00212852" w:rsidRPr="009A46FB">
              <w:t xml:space="preserve">7 </w:t>
            </w:r>
            <w:proofErr w:type="spellStart"/>
            <w:r w:rsidR="00212852" w:rsidRPr="009A46FB">
              <w:t>Alagiah</w:t>
            </w:r>
            <w:proofErr w:type="spellEnd"/>
            <w:r w:rsidR="00212852" w:rsidRPr="009A46FB">
              <w:t xml:space="preserve"> establishes the remoteness of </w:t>
            </w:r>
            <w:proofErr w:type="spellStart"/>
            <w:r w:rsidR="00212852" w:rsidRPr="009A46FB">
              <w:t>Gufgadud</w:t>
            </w:r>
            <w:proofErr w:type="spellEnd"/>
            <w:r w:rsidR="00212852" w:rsidRPr="009A46FB">
              <w:t>, a place largely forgotten by the media</w:t>
            </w:r>
          </w:p>
          <w:p w:rsidR="008C12CE" w:rsidRPr="009A46FB" w:rsidRDefault="008C12CE" w:rsidP="00663A63">
            <w:pPr>
              <w:spacing w:before="120" w:after="120"/>
            </w:pPr>
            <w:r w:rsidRPr="009A46FB">
              <w:t>l.</w:t>
            </w:r>
            <w:r w:rsidR="00212852" w:rsidRPr="009A46FB">
              <w:t xml:space="preserve">8-15 </w:t>
            </w:r>
            <w:proofErr w:type="spellStart"/>
            <w:r w:rsidR="00212852" w:rsidRPr="009A46FB">
              <w:t>Alagiah</w:t>
            </w:r>
            <w:proofErr w:type="spellEnd"/>
            <w:r w:rsidR="00212852" w:rsidRPr="009A46FB">
              <w:t xml:space="preserve"> </w:t>
            </w:r>
            <w:r w:rsidR="000C26C3" w:rsidRPr="009A46FB">
              <w:t>explores the need</w:t>
            </w:r>
            <w:r w:rsidR="00F501B4" w:rsidRPr="009A46FB">
              <w:t>s</w:t>
            </w:r>
            <w:r w:rsidR="000C26C3" w:rsidRPr="009A46FB">
              <w:t xml:space="preserve"> of journalist</w:t>
            </w:r>
            <w:r w:rsidR="00F501B4" w:rsidRPr="009A46FB">
              <w:t>s</w:t>
            </w:r>
            <w:r w:rsidR="000C26C3" w:rsidRPr="009A46FB">
              <w:t xml:space="preserve"> for shocking images</w:t>
            </w:r>
          </w:p>
          <w:p w:rsidR="008C12CE" w:rsidRPr="009A46FB" w:rsidRDefault="000C26C3" w:rsidP="00156484">
            <w:pPr>
              <w:spacing w:before="120" w:after="120"/>
            </w:pPr>
            <w:r w:rsidRPr="009A46FB">
              <w:t>l.16-31</w:t>
            </w:r>
            <w:r w:rsidR="008C12CE" w:rsidRPr="009A46FB">
              <w:t xml:space="preserve"> </w:t>
            </w:r>
            <w:proofErr w:type="spellStart"/>
            <w:r w:rsidRPr="009A46FB">
              <w:t>Alagiah</w:t>
            </w:r>
            <w:proofErr w:type="spellEnd"/>
            <w:r w:rsidRPr="009A46FB">
              <w:t xml:space="preserve"> describes individual examples of suffering</w:t>
            </w:r>
          </w:p>
          <w:p w:rsidR="00156484" w:rsidRPr="009A46FB" w:rsidRDefault="00156484" w:rsidP="000C26C3">
            <w:pPr>
              <w:spacing w:before="120" w:after="120"/>
            </w:pPr>
            <w:r w:rsidRPr="009A46FB">
              <w:t>l.</w:t>
            </w:r>
            <w:r w:rsidR="000C26C3" w:rsidRPr="009A46FB">
              <w:t xml:space="preserve">32- 45 </w:t>
            </w:r>
            <w:proofErr w:type="spellStart"/>
            <w:r w:rsidR="000C26C3" w:rsidRPr="009A46FB">
              <w:t>Alagiah</w:t>
            </w:r>
            <w:proofErr w:type="spellEnd"/>
            <w:r w:rsidR="000C26C3" w:rsidRPr="009A46FB">
              <w:t xml:space="preserve"> breaks a taboo by discussing the indignities of human suffering </w:t>
            </w:r>
          </w:p>
          <w:p w:rsidR="003B6819" w:rsidRPr="009A46FB" w:rsidRDefault="003B6819" w:rsidP="000C26C3">
            <w:pPr>
              <w:spacing w:before="120" w:after="120"/>
            </w:pPr>
            <w:r w:rsidRPr="009A46FB">
              <w:t xml:space="preserve">l. 46- 75 </w:t>
            </w:r>
            <w:proofErr w:type="spellStart"/>
            <w:r w:rsidRPr="009A46FB">
              <w:t>Alagiah</w:t>
            </w:r>
            <w:proofErr w:type="spellEnd"/>
            <w:r w:rsidRPr="009A46FB">
              <w:t xml:space="preserve"> discusses the impact of the face he will “never forget”.</w:t>
            </w:r>
          </w:p>
        </w:tc>
        <w:tc>
          <w:tcPr>
            <w:tcW w:w="3043" w:type="dxa"/>
          </w:tcPr>
          <w:p w:rsidR="00C71849" w:rsidRPr="009A46FB" w:rsidRDefault="00430324" w:rsidP="00FE2989">
            <w:pPr>
              <w:spacing w:before="120" w:after="120"/>
              <w:rPr>
                <w:b/>
              </w:rPr>
            </w:pPr>
            <w:r w:rsidRPr="009A46FB">
              <w:t xml:space="preserve">3. </w:t>
            </w:r>
            <w:r w:rsidR="00C71849" w:rsidRPr="009A46FB">
              <w:rPr>
                <w:b/>
              </w:rPr>
              <w:t>Vocabulary choices</w:t>
            </w:r>
          </w:p>
          <w:p w:rsidR="00C71849" w:rsidRPr="009A46FB" w:rsidRDefault="00C71849" w:rsidP="00FE2989">
            <w:pPr>
              <w:spacing w:before="120" w:after="120"/>
            </w:pPr>
          </w:p>
        </w:tc>
        <w:tc>
          <w:tcPr>
            <w:tcW w:w="3051" w:type="dxa"/>
          </w:tcPr>
          <w:p w:rsidR="008C12CE" w:rsidRPr="009A46FB" w:rsidRDefault="00C71849" w:rsidP="00430324">
            <w:pPr>
              <w:spacing w:before="120" w:after="120"/>
              <w:rPr>
                <w:i/>
              </w:rPr>
            </w:pPr>
            <w:r w:rsidRPr="009A46FB">
              <w:rPr>
                <w:i/>
              </w:rPr>
              <w:t>Adjective: “ghoulish” (l.8)</w:t>
            </w:r>
            <w:r w:rsidRPr="009A46FB">
              <w:rPr>
                <w:i/>
              </w:rPr>
              <w:br/>
              <w:t>Noun: “hunt” (l.8)</w:t>
            </w:r>
            <w:r w:rsidRPr="009A46FB">
              <w:rPr>
                <w:i/>
              </w:rPr>
              <w:br/>
              <w:t>Verb: “tramped” (l.9</w:t>
            </w:r>
            <w:r w:rsidR="00430324" w:rsidRPr="009A46FB">
              <w:rPr>
                <w:i/>
              </w:rPr>
              <w:t>)</w:t>
            </w:r>
          </w:p>
        </w:tc>
        <w:tc>
          <w:tcPr>
            <w:tcW w:w="4874" w:type="dxa"/>
            <w:vMerge w:val="restart"/>
          </w:tcPr>
          <w:p w:rsidR="008C12CE" w:rsidRPr="009A46FB" w:rsidRDefault="00430324" w:rsidP="009A46FB">
            <w:pPr>
              <w:spacing w:before="120" w:after="120"/>
            </w:pPr>
            <w:proofErr w:type="spellStart"/>
            <w:r w:rsidRPr="009A46FB">
              <w:t>A</w:t>
            </w:r>
            <w:r w:rsidR="00C71849" w:rsidRPr="009A46FB">
              <w:t>lagiah’s</w:t>
            </w:r>
            <w:proofErr w:type="spellEnd"/>
            <w:r w:rsidR="00C71849" w:rsidRPr="009A46FB">
              <w:t xml:space="preserve"> language is self-critical. He describes journalists as unfeeling and even inhumane in their aggressive and ruthless pursuit of shocking images. The imagery of addiction suggests the motives of journalists can be selfish rather than altruistic.</w:t>
            </w:r>
            <w:r w:rsidR="0047304D" w:rsidRPr="009A46FB">
              <w:t xml:space="preserve"> However, he concludes that</w:t>
            </w:r>
            <w:r w:rsidR="006A2B5C" w:rsidRPr="009A46FB">
              <w:t xml:space="preserve"> graphically disturbing images </w:t>
            </w:r>
            <w:r w:rsidR="009A46FB" w:rsidRPr="009A46FB">
              <w:t>are required to engage Western readers.</w:t>
            </w:r>
          </w:p>
        </w:tc>
        <w:tc>
          <w:tcPr>
            <w:tcW w:w="1364" w:type="dxa"/>
            <w:vMerge/>
            <w:shd w:val="clear" w:color="auto" w:fill="000000" w:themeFill="text1"/>
            <w:textDirection w:val="tbRl"/>
          </w:tcPr>
          <w:p w:rsidR="008C12CE" w:rsidRPr="009A46FB" w:rsidRDefault="008C12CE" w:rsidP="00663A63">
            <w:pPr>
              <w:spacing w:before="120" w:after="120"/>
              <w:ind w:left="113" w:right="113"/>
            </w:pPr>
          </w:p>
        </w:tc>
      </w:tr>
      <w:tr w:rsidR="008C12CE" w:rsidRPr="009A46FB" w:rsidTr="0042033B">
        <w:trPr>
          <w:cantSplit/>
          <w:trHeight w:val="1134"/>
        </w:trPr>
        <w:tc>
          <w:tcPr>
            <w:tcW w:w="3056" w:type="dxa"/>
            <w:gridSpan w:val="2"/>
            <w:vMerge/>
          </w:tcPr>
          <w:p w:rsidR="008C12CE" w:rsidRPr="009A46FB" w:rsidRDefault="008C12CE" w:rsidP="00663A63">
            <w:pPr>
              <w:spacing w:before="120" w:after="120"/>
            </w:pPr>
          </w:p>
        </w:tc>
        <w:tc>
          <w:tcPr>
            <w:tcW w:w="3043" w:type="dxa"/>
          </w:tcPr>
          <w:p w:rsidR="00C71849" w:rsidRPr="009A46FB" w:rsidRDefault="00D41462" w:rsidP="00430324">
            <w:pPr>
              <w:spacing w:before="120" w:after="120"/>
              <w:rPr>
                <w:b/>
              </w:rPr>
            </w:pPr>
            <w:r w:rsidRPr="009A46FB">
              <w:t>4</w:t>
            </w:r>
            <w:r w:rsidR="00430324" w:rsidRPr="009A46FB">
              <w:rPr>
                <w:b/>
              </w:rPr>
              <w:t xml:space="preserve">. </w:t>
            </w:r>
            <w:r w:rsidR="00C71849" w:rsidRPr="009A46FB">
              <w:rPr>
                <w:b/>
              </w:rPr>
              <w:t>Simile</w:t>
            </w:r>
          </w:p>
          <w:p w:rsidR="00C71849" w:rsidRPr="009A46FB" w:rsidRDefault="00E80E06" w:rsidP="00430324">
            <w:pPr>
              <w:spacing w:before="120" w:after="120"/>
              <w:rPr>
                <w:b/>
              </w:rPr>
            </w:pPr>
            <w:r w:rsidRPr="00E80E06">
              <w:t>5</w:t>
            </w:r>
            <w:r>
              <w:rPr>
                <w:b/>
              </w:rPr>
              <w:t xml:space="preserve">. </w:t>
            </w:r>
            <w:r w:rsidR="00C71849" w:rsidRPr="009A46FB">
              <w:rPr>
                <w:b/>
              </w:rPr>
              <w:t>Alliteration</w:t>
            </w:r>
          </w:p>
        </w:tc>
        <w:tc>
          <w:tcPr>
            <w:tcW w:w="3051" w:type="dxa"/>
          </w:tcPr>
          <w:p w:rsidR="00C71849" w:rsidRPr="009A46FB" w:rsidRDefault="00C71849" w:rsidP="00430324">
            <w:pPr>
              <w:spacing w:before="120" w:after="120"/>
              <w:rPr>
                <w:i/>
              </w:rPr>
            </w:pPr>
            <w:r w:rsidRPr="009A46FB">
              <w:rPr>
                <w:i/>
              </w:rPr>
              <w:t>“ like the</w:t>
            </w:r>
            <w:r w:rsidR="009A46FB" w:rsidRPr="009A46FB">
              <w:rPr>
                <w:i/>
              </w:rPr>
              <w:t xml:space="preserve"> craving for a drug</w:t>
            </w:r>
            <w:r w:rsidRPr="009A46FB">
              <w:rPr>
                <w:i/>
              </w:rPr>
              <w:t>” (l.11-12)</w:t>
            </w:r>
            <w:r w:rsidR="009A46FB">
              <w:rPr>
                <w:i/>
              </w:rPr>
              <w:br/>
            </w:r>
            <w:r w:rsidRPr="009A46FB">
              <w:rPr>
                <w:i/>
              </w:rPr>
              <w:t>“callous” “collect” “compile” “comfort” (l.13-</w:t>
            </w:r>
            <w:bookmarkStart w:id="0" w:name="_GoBack"/>
            <w:bookmarkEnd w:id="0"/>
            <w:r w:rsidRPr="009A46FB">
              <w:rPr>
                <w:i/>
              </w:rPr>
              <w:t>15)</w:t>
            </w:r>
          </w:p>
        </w:tc>
        <w:tc>
          <w:tcPr>
            <w:tcW w:w="4874" w:type="dxa"/>
            <w:vMerge/>
          </w:tcPr>
          <w:p w:rsidR="008C12CE" w:rsidRPr="009A46FB" w:rsidRDefault="008C12CE" w:rsidP="00663A63">
            <w:pPr>
              <w:spacing w:before="120" w:after="120"/>
            </w:pPr>
          </w:p>
        </w:tc>
        <w:tc>
          <w:tcPr>
            <w:tcW w:w="1364" w:type="dxa"/>
            <w:vMerge/>
            <w:shd w:val="clear" w:color="auto" w:fill="000000" w:themeFill="text1"/>
            <w:textDirection w:val="tbRl"/>
          </w:tcPr>
          <w:p w:rsidR="008C12CE" w:rsidRPr="009A46FB" w:rsidRDefault="008C12CE" w:rsidP="00663A63">
            <w:pPr>
              <w:spacing w:before="120" w:after="120"/>
              <w:ind w:left="113" w:right="113"/>
            </w:pPr>
          </w:p>
        </w:tc>
      </w:tr>
      <w:tr w:rsidR="008C12CE" w:rsidRPr="009A46FB" w:rsidTr="0042033B">
        <w:trPr>
          <w:cantSplit/>
          <w:trHeight w:val="1134"/>
        </w:trPr>
        <w:tc>
          <w:tcPr>
            <w:tcW w:w="3056" w:type="dxa"/>
            <w:gridSpan w:val="2"/>
            <w:vMerge/>
          </w:tcPr>
          <w:p w:rsidR="008C12CE" w:rsidRPr="009A46FB" w:rsidRDefault="008C12CE" w:rsidP="00663A63">
            <w:pPr>
              <w:spacing w:before="120" w:after="120"/>
            </w:pPr>
          </w:p>
        </w:tc>
        <w:tc>
          <w:tcPr>
            <w:tcW w:w="3043" w:type="dxa"/>
          </w:tcPr>
          <w:p w:rsidR="00BE0CC8" w:rsidRPr="009A46FB" w:rsidRDefault="00E80E06" w:rsidP="00341703">
            <w:pPr>
              <w:spacing w:before="120" w:after="120"/>
            </w:pPr>
            <w:r>
              <w:t>6</w:t>
            </w:r>
            <w:r w:rsidR="000F72E1" w:rsidRPr="009A46FB">
              <w:t>.</w:t>
            </w:r>
            <w:r w:rsidR="004D77E6" w:rsidRPr="009A46FB">
              <w:t xml:space="preserve"> </w:t>
            </w:r>
            <w:r w:rsidR="00341703" w:rsidRPr="009A46FB">
              <w:t xml:space="preserve">Use of </w:t>
            </w:r>
            <w:r w:rsidR="00341703" w:rsidRPr="009A46FB">
              <w:rPr>
                <w:b/>
              </w:rPr>
              <w:t xml:space="preserve">understatement </w:t>
            </w:r>
          </w:p>
        </w:tc>
        <w:tc>
          <w:tcPr>
            <w:tcW w:w="3051" w:type="dxa"/>
          </w:tcPr>
          <w:p w:rsidR="00341703" w:rsidRPr="009A46FB" w:rsidRDefault="004D77E6" w:rsidP="00D41462">
            <w:pPr>
              <w:spacing w:before="120" w:after="120"/>
              <w:rPr>
                <w:i/>
              </w:rPr>
            </w:pPr>
            <w:r w:rsidRPr="009A46FB">
              <w:rPr>
                <w:i/>
              </w:rPr>
              <w:t>“By the time Amina returned, she had only one daughter</w:t>
            </w:r>
            <w:r w:rsidR="00BE0CC8" w:rsidRPr="009A46FB">
              <w:rPr>
                <w:i/>
              </w:rPr>
              <w:t>”</w:t>
            </w:r>
            <w:r w:rsidRPr="009A46FB">
              <w:rPr>
                <w:i/>
              </w:rPr>
              <w:t xml:space="preserve"> (l.19-20)</w:t>
            </w:r>
          </w:p>
          <w:p w:rsidR="00341703" w:rsidRPr="009A46FB" w:rsidRDefault="00341703" w:rsidP="00D41462">
            <w:pPr>
              <w:spacing w:before="120" w:after="120"/>
              <w:rPr>
                <w:i/>
              </w:rPr>
            </w:pPr>
            <w:r w:rsidRPr="009A46FB">
              <w:rPr>
                <w:i/>
              </w:rPr>
              <w:t xml:space="preserve">“the gentle </w:t>
            </w:r>
            <w:r w:rsidR="006A2B5C" w:rsidRPr="009A46FB">
              <w:rPr>
                <w:i/>
              </w:rPr>
              <w:t>V-</w:t>
            </w:r>
            <w:r w:rsidRPr="009A46FB">
              <w:rPr>
                <w:i/>
              </w:rPr>
              <w:t>shape of a boomerang” (l.29)</w:t>
            </w:r>
          </w:p>
        </w:tc>
        <w:tc>
          <w:tcPr>
            <w:tcW w:w="4874" w:type="dxa"/>
          </w:tcPr>
          <w:p w:rsidR="008C12CE" w:rsidRPr="009A46FB" w:rsidRDefault="004D77E6" w:rsidP="004D77E6">
            <w:pPr>
              <w:spacing w:before="120" w:after="120"/>
            </w:pPr>
            <w:r w:rsidRPr="009A46FB">
              <w:t>The description of the dying children and old lady are marked by understatement.</w:t>
            </w:r>
            <w:r w:rsidR="00341703" w:rsidRPr="009A46FB">
              <w:t xml:space="preserve"> </w:t>
            </w:r>
            <w:r w:rsidRPr="009A46FB">
              <w:t>No hyperbole is needed. The events spe</w:t>
            </w:r>
            <w:r w:rsidR="00341703" w:rsidRPr="009A46FB">
              <w:t>a</w:t>
            </w:r>
            <w:r w:rsidRPr="009A46FB">
              <w:t xml:space="preserve">k for themselves. </w:t>
            </w:r>
            <w:r w:rsidR="00341703" w:rsidRPr="009A46FB">
              <w:t>The sense of restraint and resignation seems to reflect the attitudes of those who are suffering.</w:t>
            </w:r>
          </w:p>
        </w:tc>
        <w:tc>
          <w:tcPr>
            <w:tcW w:w="1364" w:type="dxa"/>
            <w:vMerge/>
            <w:shd w:val="clear" w:color="auto" w:fill="000000" w:themeFill="text1"/>
            <w:textDirection w:val="tbRl"/>
          </w:tcPr>
          <w:p w:rsidR="008C12CE" w:rsidRPr="009A46FB" w:rsidRDefault="008C12CE" w:rsidP="00663A63">
            <w:pPr>
              <w:spacing w:before="120" w:after="120"/>
              <w:ind w:left="113" w:right="113"/>
            </w:pPr>
          </w:p>
        </w:tc>
      </w:tr>
      <w:tr w:rsidR="008C12CE" w:rsidRPr="009A46FB" w:rsidTr="0042033B">
        <w:trPr>
          <w:cantSplit/>
          <w:trHeight w:val="1134"/>
        </w:trPr>
        <w:tc>
          <w:tcPr>
            <w:tcW w:w="3056" w:type="dxa"/>
            <w:gridSpan w:val="2"/>
            <w:vMerge/>
          </w:tcPr>
          <w:p w:rsidR="008C12CE" w:rsidRPr="009A46FB" w:rsidRDefault="008C12CE" w:rsidP="00663A63">
            <w:pPr>
              <w:spacing w:before="120" w:after="120"/>
            </w:pPr>
          </w:p>
        </w:tc>
        <w:tc>
          <w:tcPr>
            <w:tcW w:w="3043" w:type="dxa"/>
          </w:tcPr>
          <w:p w:rsidR="008C12CE" w:rsidRPr="009A46FB" w:rsidRDefault="00C40912" w:rsidP="000F72E1">
            <w:pPr>
              <w:spacing w:before="120" w:after="120"/>
            </w:pPr>
            <w:r w:rsidRPr="009A46FB">
              <w:t xml:space="preserve">7. </w:t>
            </w:r>
            <w:r w:rsidR="006478E4">
              <w:t xml:space="preserve">Use of </w:t>
            </w:r>
            <w:r w:rsidR="006478E4" w:rsidRPr="006478E4">
              <w:rPr>
                <w:b/>
              </w:rPr>
              <w:t>rhetorical</w:t>
            </w:r>
            <w:r w:rsidR="006A2B5C" w:rsidRPr="009A46FB">
              <w:t xml:space="preserve"> </w:t>
            </w:r>
            <w:r w:rsidR="00F501B4" w:rsidRPr="009A46FB">
              <w:rPr>
                <w:b/>
              </w:rPr>
              <w:t>question</w:t>
            </w:r>
            <w:r w:rsidR="006478E4">
              <w:rPr>
                <w:b/>
              </w:rPr>
              <w:t>s</w:t>
            </w:r>
          </w:p>
        </w:tc>
        <w:tc>
          <w:tcPr>
            <w:tcW w:w="3051" w:type="dxa"/>
          </w:tcPr>
          <w:p w:rsidR="006A2B5C" w:rsidRPr="009A46FB" w:rsidRDefault="00F501B4" w:rsidP="006A2B5C">
            <w:pPr>
              <w:spacing w:before="120" w:after="120"/>
              <w:rPr>
                <w:i/>
              </w:rPr>
            </w:pPr>
            <w:r w:rsidRPr="009A46FB">
              <w:rPr>
                <w:i/>
              </w:rPr>
              <w:t>“</w:t>
            </w:r>
            <w:proofErr w:type="gramStart"/>
            <w:r w:rsidRPr="009A46FB">
              <w:rPr>
                <w:i/>
              </w:rPr>
              <w:t>how</w:t>
            </w:r>
            <w:proofErr w:type="gramEnd"/>
            <w:r w:rsidRPr="009A46FB">
              <w:rPr>
                <w:i/>
              </w:rPr>
              <w:t xml:space="preserve"> should I feel to be standing there so strong and confident?” (l.65-66)</w:t>
            </w:r>
          </w:p>
        </w:tc>
        <w:tc>
          <w:tcPr>
            <w:tcW w:w="4874" w:type="dxa"/>
            <w:vMerge w:val="restart"/>
          </w:tcPr>
          <w:p w:rsidR="00D277CC" w:rsidRPr="009A46FB" w:rsidRDefault="006A2B5C" w:rsidP="009A46FB">
            <w:pPr>
              <w:spacing w:before="120" w:after="120"/>
            </w:pPr>
            <w:r w:rsidRPr="009A46FB">
              <w:t xml:space="preserve">Although </w:t>
            </w:r>
            <w:proofErr w:type="spellStart"/>
            <w:r w:rsidRPr="009A46FB">
              <w:t>Alagiah</w:t>
            </w:r>
            <w:proofErr w:type="spellEnd"/>
            <w:r w:rsidRPr="009A46FB">
              <w:t xml:space="preserve"> only sees “the face” for “a few seconds”, the moment proves “seminal”. The man’s smile of “apology” inverts the usual relationship between journalist and subject. Instead of being passive, the man’s smile prompts </w:t>
            </w:r>
            <w:proofErr w:type="spellStart"/>
            <w:r w:rsidR="00D277CC" w:rsidRPr="009A46FB">
              <w:t>Alagiah</w:t>
            </w:r>
            <w:proofErr w:type="spellEnd"/>
            <w:r w:rsidR="00D277CC" w:rsidRPr="009A46FB">
              <w:t xml:space="preserve"> to question his position and responsibility as a journalist and as a Westerner.</w:t>
            </w:r>
            <w:r w:rsidR="009A46FB" w:rsidRPr="009A46FB">
              <w:t xml:space="preserve"> </w:t>
            </w:r>
            <w:r w:rsidR="009A46FB">
              <w:t>This is why he is grateful and resolves to write about the experience.</w:t>
            </w:r>
          </w:p>
        </w:tc>
        <w:tc>
          <w:tcPr>
            <w:tcW w:w="1364" w:type="dxa"/>
            <w:vMerge/>
            <w:shd w:val="clear" w:color="auto" w:fill="000000" w:themeFill="text1"/>
            <w:textDirection w:val="tbRl"/>
          </w:tcPr>
          <w:p w:rsidR="008C12CE" w:rsidRPr="009A46FB" w:rsidRDefault="008C12CE" w:rsidP="00663A63">
            <w:pPr>
              <w:spacing w:before="120" w:after="120"/>
              <w:ind w:left="113" w:right="113"/>
            </w:pPr>
          </w:p>
        </w:tc>
      </w:tr>
      <w:tr w:rsidR="0042033B" w:rsidRPr="009A46FB" w:rsidTr="0042033B">
        <w:trPr>
          <w:cantSplit/>
          <w:trHeight w:val="1134"/>
        </w:trPr>
        <w:tc>
          <w:tcPr>
            <w:tcW w:w="3056" w:type="dxa"/>
            <w:gridSpan w:val="2"/>
            <w:shd w:val="clear" w:color="auto" w:fill="000000" w:themeFill="text1"/>
          </w:tcPr>
          <w:p w:rsidR="0042033B" w:rsidRPr="009A46FB" w:rsidRDefault="0042033B" w:rsidP="00565B60">
            <w:pPr>
              <w:spacing w:before="120" w:after="120"/>
            </w:pPr>
            <w:r w:rsidRPr="009A46FB">
              <w:rPr>
                <w:b/>
              </w:rPr>
              <w:t xml:space="preserve">Related </w:t>
            </w:r>
            <w:r w:rsidR="008C12CE" w:rsidRPr="009A46FB">
              <w:rPr>
                <w:b/>
              </w:rPr>
              <w:t>texts:</w:t>
            </w:r>
            <w:r w:rsidR="00565B60" w:rsidRPr="009A46FB">
              <w:rPr>
                <w:i/>
              </w:rPr>
              <w:t xml:space="preserve"> </w:t>
            </w:r>
            <w:r w:rsidR="00156484" w:rsidRPr="009A46FB">
              <w:rPr>
                <w:i/>
              </w:rPr>
              <w:t>Young and Dyslexic</w:t>
            </w:r>
            <w:r w:rsidR="009A46FB">
              <w:rPr>
                <w:i/>
              </w:rPr>
              <w:t>;</w:t>
            </w:r>
            <w:r w:rsidR="006478E4">
              <w:rPr>
                <w:i/>
              </w:rPr>
              <w:t xml:space="preserve"> </w:t>
            </w:r>
            <w:r w:rsidR="009A46FB">
              <w:rPr>
                <w:i/>
              </w:rPr>
              <w:t>H for Hawk; Single Story</w:t>
            </w:r>
          </w:p>
        </w:tc>
        <w:tc>
          <w:tcPr>
            <w:tcW w:w="3043" w:type="dxa"/>
          </w:tcPr>
          <w:p w:rsidR="0042033B" w:rsidRDefault="00C40912" w:rsidP="009A46FB">
            <w:pPr>
              <w:spacing w:before="120" w:after="120"/>
              <w:rPr>
                <w:b/>
              </w:rPr>
            </w:pPr>
            <w:r w:rsidRPr="009A46FB">
              <w:t xml:space="preserve">8. </w:t>
            </w:r>
            <w:r w:rsidRPr="009A46FB">
              <w:rPr>
                <w:b/>
              </w:rPr>
              <w:t xml:space="preserve"> </w:t>
            </w:r>
            <w:r w:rsidR="00E80E06">
              <w:rPr>
                <w:b/>
              </w:rPr>
              <w:t>Use of alliteration</w:t>
            </w:r>
          </w:p>
          <w:p w:rsidR="00E80E06" w:rsidRPr="009A46FB" w:rsidRDefault="00E80E06" w:rsidP="009A46FB">
            <w:pPr>
              <w:spacing w:before="120" w:after="120"/>
            </w:pPr>
            <w:r>
              <w:t xml:space="preserve"> </w:t>
            </w:r>
            <w:r>
              <w:rPr>
                <w:b/>
              </w:rPr>
              <w:t>Use of direct address</w:t>
            </w:r>
          </w:p>
        </w:tc>
        <w:tc>
          <w:tcPr>
            <w:tcW w:w="3051" w:type="dxa"/>
          </w:tcPr>
          <w:p w:rsidR="0042033B" w:rsidRDefault="000F72E1" w:rsidP="00E80E06">
            <w:pPr>
              <w:spacing w:before="120" w:after="120"/>
              <w:rPr>
                <w:i/>
              </w:rPr>
            </w:pPr>
            <w:r w:rsidRPr="009A46FB">
              <w:rPr>
                <w:i/>
              </w:rPr>
              <w:t>“</w:t>
            </w:r>
            <w:r w:rsidR="00E80E06">
              <w:rPr>
                <w:i/>
              </w:rPr>
              <w:t xml:space="preserve">I would write…with all the </w:t>
            </w:r>
            <w:r w:rsidR="00E80E06" w:rsidRPr="00E80E06">
              <w:rPr>
                <w:i/>
                <w:u w:val="single"/>
              </w:rPr>
              <w:t>p</w:t>
            </w:r>
            <w:r w:rsidR="00E80E06">
              <w:rPr>
                <w:i/>
              </w:rPr>
              <w:t xml:space="preserve">ower and </w:t>
            </w:r>
            <w:r w:rsidR="00E80E06" w:rsidRPr="00E80E06">
              <w:rPr>
                <w:i/>
                <w:u w:val="single"/>
              </w:rPr>
              <w:t>p</w:t>
            </w:r>
            <w:r w:rsidR="00E80E06">
              <w:rPr>
                <w:i/>
              </w:rPr>
              <w:t>urpose” (l.67)</w:t>
            </w:r>
          </w:p>
          <w:p w:rsidR="00E80E06" w:rsidRPr="009A46FB" w:rsidRDefault="00E80E06" w:rsidP="00E80E06">
            <w:pPr>
              <w:spacing w:before="120" w:after="120"/>
              <w:rPr>
                <w:i/>
              </w:rPr>
            </w:pPr>
            <w:r>
              <w:rPr>
                <w:i/>
              </w:rPr>
              <w:t>“my nameless friend…I owe you” (l.75)</w:t>
            </w:r>
          </w:p>
        </w:tc>
        <w:tc>
          <w:tcPr>
            <w:tcW w:w="4874" w:type="dxa"/>
            <w:vMerge/>
          </w:tcPr>
          <w:p w:rsidR="0042033B" w:rsidRPr="009A46FB" w:rsidRDefault="0042033B" w:rsidP="00663A63">
            <w:pPr>
              <w:spacing w:before="120" w:after="120"/>
              <w:rPr>
                <w:b/>
              </w:rPr>
            </w:pPr>
          </w:p>
        </w:tc>
        <w:tc>
          <w:tcPr>
            <w:tcW w:w="1364" w:type="dxa"/>
            <w:shd w:val="clear" w:color="auto" w:fill="000000" w:themeFill="text1"/>
            <w:textDirection w:val="tbRl"/>
          </w:tcPr>
          <w:p w:rsidR="0042033B" w:rsidRPr="009A46FB" w:rsidRDefault="0042033B" w:rsidP="00663A63">
            <w:pPr>
              <w:spacing w:before="120" w:after="120"/>
              <w:ind w:left="113" w:right="113"/>
            </w:pPr>
          </w:p>
        </w:tc>
      </w:tr>
    </w:tbl>
    <w:p w:rsidR="000C39AF" w:rsidRPr="009A46FB" w:rsidRDefault="000C39AF"/>
    <w:sectPr w:rsidR="000C39AF" w:rsidRPr="009A46FB" w:rsidSect="00810AA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AA7"/>
    <w:rsid w:val="000C26C3"/>
    <w:rsid w:val="000C39AF"/>
    <w:rsid w:val="000F69D2"/>
    <w:rsid w:val="000F72E1"/>
    <w:rsid w:val="00156484"/>
    <w:rsid w:val="00212852"/>
    <w:rsid w:val="003169E1"/>
    <w:rsid w:val="003275B3"/>
    <w:rsid w:val="00341703"/>
    <w:rsid w:val="003B6819"/>
    <w:rsid w:val="003D0AC5"/>
    <w:rsid w:val="0042033B"/>
    <w:rsid w:val="00425A20"/>
    <w:rsid w:val="00430324"/>
    <w:rsid w:val="0047304D"/>
    <w:rsid w:val="004D77E6"/>
    <w:rsid w:val="00565B60"/>
    <w:rsid w:val="00643B39"/>
    <w:rsid w:val="006478E4"/>
    <w:rsid w:val="00663A63"/>
    <w:rsid w:val="00687007"/>
    <w:rsid w:val="006A2B5C"/>
    <w:rsid w:val="006C1A75"/>
    <w:rsid w:val="006F0522"/>
    <w:rsid w:val="00717EA7"/>
    <w:rsid w:val="00810AA7"/>
    <w:rsid w:val="008C12CE"/>
    <w:rsid w:val="008D14A8"/>
    <w:rsid w:val="009A46FB"/>
    <w:rsid w:val="00A20473"/>
    <w:rsid w:val="00A966DB"/>
    <w:rsid w:val="00AB77B6"/>
    <w:rsid w:val="00B2054F"/>
    <w:rsid w:val="00B30F71"/>
    <w:rsid w:val="00B72EAE"/>
    <w:rsid w:val="00BA2B5A"/>
    <w:rsid w:val="00BB0D21"/>
    <w:rsid w:val="00BE0CC8"/>
    <w:rsid w:val="00C40912"/>
    <w:rsid w:val="00C71849"/>
    <w:rsid w:val="00D1460E"/>
    <w:rsid w:val="00D277CC"/>
    <w:rsid w:val="00D41462"/>
    <w:rsid w:val="00D43959"/>
    <w:rsid w:val="00D70256"/>
    <w:rsid w:val="00D736C3"/>
    <w:rsid w:val="00D81B48"/>
    <w:rsid w:val="00E80E06"/>
    <w:rsid w:val="00EC127C"/>
    <w:rsid w:val="00F16344"/>
    <w:rsid w:val="00F501B4"/>
    <w:rsid w:val="00F772CA"/>
    <w:rsid w:val="00FE2989"/>
    <w:rsid w:val="00FF7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5AEA5-E50D-42EB-9CD1-7EBFD456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B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F4BF421E</Template>
  <TotalTime>1</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EC</Company>
  <LinksUpToDate>false</LinksUpToDate>
  <CharactersWithSpaces>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Buchanan</dc:creator>
  <cp:keywords/>
  <dc:description/>
  <cp:lastModifiedBy>Magnus Buchanan</cp:lastModifiedBy>
  <cp:revision>3</cp:revision>
  <cp:lastPrinted>2016-12-12T10:17:00Z</cp:lastPrinted>
  <dcterms:created xsi:type="dcterms:W3CDTF">2017-05-25T08:17:00Z</dcterms:created>
  <dcterms:modified xsi:type="dcterms:W3CDTF">2017-05-25T08:18:00Z</dcterms:modified>
</cp:coreProperties>
</file>