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10"/>
        <w:gridCol w:w="3043"/>
        <w:gridCol w:w="3051"/>
        <w:gridCol w:w="4874"/>
        <w:gridCol w:w="1364"/>
      </w:tblGrid>
      <w:tr w:rsidR="00663A63" w14:paraId="350758F7" w14:textId="77777777" w:rsidTr="0042033B">
        <w:trPr>
          <w:cantSplit/>
          <w:trHeight w:val="841"/>
        </w:trPr>
        <w:tc>
          <w:tcPr>
            <w:tcW w:w="3046" w:type="dxa"/>
            <w:shd w:val="clear" w:color="auto" w:fill="000000" w:themeFill="text1"/>
          </w:tcPr>
          <w:p w14:paraId="036D184A" w14:textId="77777777" w:rsidR="00663A63" w:rsidRPr="00663A63" w:rsidRDefault="00663A63" w:rsidP="00484E5F">
            <w:pPr>
              <w:spacing w:before="120" w:after="120"/>
              <w:rPr>
                <w:b/>
                <w:sz w:val="24"/>
                <w:szCs w:val="24"/>
              </w:rPr>
            </w:pPr>
            <w:r w:rsidRPr="00663A63">
              <w:rPr>
                <w:b/>
                <w:sz w:val="24"/>
                <w:szCs w:val="24"/>
              </w:rPr>
              <w:t xml:space="preserve">A) </w:t>
            </w:r>
            <w:r w:rsidR="00484E5F">
              <w:rPr>
                <w:b/>
                <w:sz w:val="24"/>
                <w:szCs w:val="24"/>
              </w:rPr>
              <w:t>Summary and structure of the poem</w:t>
            </w:r>
          </w:p>
        </w:tc>
        <w:tc>
          <w:tcPr>
            <w:tcW w:w="3053" w:type="dxa"/>
            <w:gridSpan w:val="2"/>
            <w:shd w:val="clear" w:color="auto" w:fill="000000" w:themeFill="text1"/>
          </w:tcPr>
          <w:p w14:paraId="0B497D91" w14:textId="77777777" w:rsidR="00663A63" w:rsidRPr="008D14A8" w:rsidRDefault="00663A63" w:rsidP="00484E5F">
            <w:pPr>
              <w:spacing w:before="120" w:after="120"/>
              <w:rPr>
                <w:sz w:val="24"/>
                <w:szCs w:val="24"/>
              </w:rPr>
            </w:pPr>
            <w:r w:rsidRPr="008D14A8">
              <w:rPr>
                <w:b/>
                <w:sz w:val="24"/>
                <w:szCs w:val="24"/>
              </w:rPr>
              <w:t xml:space="preserve">B) Key </w:t>
            </w:r>
            <w:r w:rsidR="00484E5F">
              <w:rPr>
                <w:b/>
                <w:sz w:val="24"/>
                <w:szCs w:val="24"/>
              </w:rPr>
              <w:t>quotations and references from the poem</w:t>
            </w:r>
          </w:p>
        </w:tc>
        <w:tc>
          <w:tcPr>
            <w:tcW w:w="3051" w:type="dxa"/>
            <w:shd w:val="clear" w:color="auto" w:fill="000000" w:themeFill="text1"/>
          </w:tcPr>
          <w:p w14:paraId="1D62E8DF" w14:textId="77777777" w:rsidR="00663A63" w:rsidRPr="00663A63" w:rsidRDefault="0042033B" w:rsidP="00484E5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484E5F">
              <w:rPr>
                <w:b/>
                <w:sz w:val="24"/>
                <w:szCs w:val="24"/>
              </w:rPr>
              <w:t>) K</w:t>
            </w:r>
            <w:r w:rsidR="00663A63" w:rsidRPr="00663A63">
              <w:rPr>
                <w:b/>
                <w:sz w:val="24"/>
                <w:szCs w:val="24"/>
              </w:rPr>
              <w:t xml:space="preserve">ey </w:t>
            </w:r>
            <w:r w:rsidR="00484E5F">
              <w:rPr>
                <w:b/>
                <w:sz w:val="24"/>
                <w:szCs w:val="24"/>
              </w:rPr>
              <w:t>techniques and/or vocab to discuss quotes</w:t>
            </w:r>
          </w:p>
        </w:tc>
        <w:tc>
          <w:tcPr>
            <w:tcW w:w="4874" w:type="dxa"/>
            <w:shd w:val="clear" w:color="auto" w:fill="000000" w:themeFill="text1"/>
          </w:tcPr>
          <w:p w14:paraId="768C6844" w14:textId="255A76AD" w:rsidR="00663A63" w:rsidRPr="00663A63" w:rsidRDefault="00FB7E86" w:rsidP="008D14A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d) </w:t>
            </w:r>
            <w:r w:rsidR="00484E5F">
              <w:rPr>
                <w:b/>
                <w:sz w:val="24"/>
                <w:szCs w:val="24"/>
              </w:rPr>
              <w:t>Key context</w:t>
            </w:r>
            <w:r w:rsidR="007C1816">
              <w:rPr>
                <w:b/>
                <w:sz w:val="24"/>
                <w:szCs w:val="24"/>
              </w:rPr>
              <w:t xml:space="preserve"> / interpretation</w:t>
            </w:r>
            <w:r w:rsidR="0042033B">
              <w:rPr>
                <w:b/>
                <w:sz w:val="24"/>
                <w:szCs w:val="24"/>
              </w:rPr>
              <w:t>:</w:t>
            </w:r>
            <w:r w:rsidR="00663A63" w:rsidRPr="00663A63">
              <w:rPr>
                <w:b/>
                <w:sz w:val="24"/>
                <w:szCs w:val="24"/>
              </w:rPr>
              <w:t xml:space="preserve"> </w:t>
            </w:r>
            <w:r w:rsidR="00687007">
              <w:rPr>
                <w:b/>
                <w:sz w:val="24"/>
                <w:szCs w:val="24"/>
              </w:rPr>
              <w:t xml:space="preserve">some </w:t>
            </w:r>
            <w:r w:rsidR="007C1816">
              <w:rPr>
                <w:b/>
                <w:sz w:val="24"/>
                <w:szCs w:val="24"/>
              </w:rPr>
              <w:t>vocabulary and</w:t>
            </w:r>
            <w:r w:rsidR="00663A63" w:rsidRPr="00663A63">
              <w:rPr>
                <w:b/>
                <w:sz w:val="24"/>
                <w:szCs w:val="24"/>
              </w:rPr>
              <w:t xml:space="preserve"> </w:t>
            </w:r>
            <w:r w:rsidR="0042033B">
              <w:rPr>
                <w:b/>
                <w:sz w:val="24"/>
                <w:szCs w:val="24"/>
              </w:rPr>
              <w:t xml:space="preserve">further </w:t>
            </w:r>
            <w:r w:rsidR="00663A63" w:rsidRPr="00663A63">
              <w:rPr>
                <w:b/>
                <w:sz w:val="24"/>
                <w:szCs w:val="24"/>
              </w:rPr>
              <w:t>discussion</w:t>
            </w:r>
          </w:p>
        </w:tc>
        <w:tc>
          <w:tcPr>
            <w:tcW w:w="1364" w:type="dxa"/>
            <w:vMerge w:val="restart"/>
            <w:shd w:val="clear" w:color="auto" w:fill="000000" w:themeFill="text1"/>
            <w:textDirection w:val="tbRl"/>
          </w:tcPr>
          <w:p w14:paraId="0388E009" w14:textId="07FFC6AB" w:rsidR="00663A63" w:rsidRPr="00663A63" w:rsidRDefault="00F950A2" w:rsidP="0066310F">
            <w:pPr>
              <w:spacing w:before="120" w:after="120"/>
              <w:ind w:left="113" w:right="113"/>
              <w:rPr>
                <w:color w:val="FFFFFF" w:themeColor="background1"/>
                <w:sz w:val="72"/>
                <w:szCs w:val="72"/>
              </w:rPr>
            </w:pPr>
            <w:r>
              <w:rPr>
                <w:color w:val="FFFFFF" w:themeColor="background1"/>
                <w:sz w:val="72"/>
                <w:szCs w:val="72"/>
              </w:rPr>
              <w:t>S</w:t>
            </w:r>
            <w:r w:rsidR="00FB7E86">
              <w:rPr>
                <w:color w:val="FFFFFF" w:themeColor="background1"/>
                <w:sz w:val="72"/>
                <w:szCs w:val="72"/>
              </w:rPr>
              <w:t xml:space="preserve">earch </w:t>
            </w:r>
            <w:proofErr w:type="gramStart"/>
            <w:r w:rsidR="00FB7E86">
              <w:rPr>
                <w:color w:val="FFFFFF" w:themeColor="background1"/>
                <w:sz w:val="72"/>
                <w:szCs w:val="72"/>
              </w:rPr>
              <w:t>For</w:t>
            </w:r>
            <w:proofErr w:type="gramEnd"/>
            <w:r w:rsidR="00FB7E86">
              <w:rPr>
                <w:color w:val="FFFFFF" w:themeColor="background1"/>
                <w:sz w:val="72"/>
                <w:szCs w:val="72"/>
              </w:rPr>
              <w:t xml:space="preserve"> My Tongue</w:t>
            </w:r>
          </w:p>
        </w:tc>
      </w:tr>
      <w:tr w:rsidR="00F16676" w14:paraId="71A9B616" w14:textId="77777777" w:rsidTr="0024148A">
        <w:trPr>
          <w:cantSplit/>
          <w:trHeight w:val="1134"/>
        </w:trPr>
        <w:tc>
          <w:tcPr>
            <w:tcW w:w="9150" w:type="dxa"/>
            <w:gridSpan w:val="4"/>
          </w:tcPr>
          <w:p w14:paraId="75ECCF33" w14:textId="508CF993" w:rsidR="00F16676" w:rsidRPr="00B4012C" w:rsidRDefault="00F16676" w:rsidP="0066310F">
            <w:pPr>
              <w:spacing w:before="120" w:after="120"/>
              <w:rPr>
                <w:i/>
                <w:sz w:val="20"/>
                <w:szCs w:val="20"/>
              </w:rPr>
            </w:pPr>
            <w:r w:rsidRPr="00B4012C">
              <w:rPr>
                <w:b/>
                <w:sz w:val="20"/>
                <w:szCs w:val="20"/>
              </w:rPr>
              <w:t>Summary:</w:t>
            </w:r>
            <w:r w:rsidR="00791801" w:rsidRPr="00B4012C">
              <w:rPr>
                <w:b/>
                <w:sz w:val="20"/>
                <w:szCs w:val="20"/>
              </w:rPr>
              <w:t xml:space="preserve"> </w:t>
            </w:r>
            <w:r w:rsidR="00791801" w:rsidRPr="00525368">
              <w:t>Sujata Bhatt crafts an unusually structured</w:t>
            </w:r>
            <w:r w:rsidR="00BC7A02" w:rsidRPr="00525368">
              <w:t xml:space="preserve"> and very powerful</w:t>
            </w:r>
            <w:r w:rsidR="00791801" w:rsidRPr="00525368">
              <w:t xml:space="preserve"> poem that reflects her</w:t>
            </w:r>
            <w:r w:rsidR="00BC7A02" w:rsidRPr="00525368">
              <w:t xml:space="preserve"> isolating</w:t>
            </w:r>
            <w:r w:rsidR="00791801" w:rsidRPr="00525368">
              <w:t xml:space="preserve"> experiences as a foreigner, with English as a second language, living in a new country.</w:t>
            </w:r>
            <w:r w:rsidR="009D5B27" w:rsidRPr="00525368">
              <w:t xml:space="preserve"> She is forced to search for her identity and her voice</w:t>
            </w:r>
            <w:r w:rsidR="00525368">
              <w:t xml:space="preserve"> (represented by the metaphorical ‘tongue’)</w:t>
            </w:r>
            <w:r w:rsidR="009D5B27" w:rsidRPr="00525368">
              <w:t xml:space="preserve"> both of which are threatened in a new environment</w:t>
            </w:r>
            <w:r w:rsidR="00525368">
              <w:t>.</w:t>
            </w:r>
            <w:r w:rsidR="00791801" w:rsidRPr="00525368">
              <w:t xml:space="preserve"> Bhatt forces the assumed English reader i</w:t>
            </w:r>
            <w:r w:rsidR="00BC7A02" w:rsidRPr="00525368">
              <w:t>nto</w:t>
            </w:r>
            <w:r w:rsidR="00791801" w:rsidRPr="00525368">
              <w:t xml:space="preserve"> her own situation and the difficulties</w:t>
            </w:r>
            <w:r w:rsidR="00BC7A02" w:rsidRPr="00525368">
              <w:t xml:space="preserve"> she faces trying to communicate in a foreign language</w:t>
            </w:r>
            <w:r w:rsidR="00525368">
              <w:t xml:space="preserve"> </w:t>
            </w:r>
            <w:r w:rsidR="00BC7A02" w:rsidRPr="00525368">
              <w:t>whilst retaining her personal identity. The poem contains three types of language: colloquial addressing of the reader</w:t>
            </w:r>
            <w:r w:rsidR="00246A7A" w:rsidRPr="00525368">
              <w:t xml:space="preserve"> in English; Gujarati script with phonetic transcription; </w:t>
            </w:r>
            <w:r w:rsidR="00B3355F" w:rsidRPr="00525368">
              <w:t xml:space="preserve">and </w:t>
            </w:r>
            <w:r w:rsidR="00246A7A" w:rsidRPr="00525368">
              <w:t>use of extended metaphor.</w:t>
            </w:r>
          </w:p>
        </w:tc>
        <w:tc>
          <w:tcPr>
            <w:tcW w:w="4874" w:type="dxa"/>
            <w:vMerge w:val="restart"/>
          </w:tcPr>
          <w:p w14:paraId="18D5BEB5" w14:textId="330282DC" w:rsidR="00F16676" w:rsidRPr="00B4012C" w:rsidRDefault="00F16676" w:rsidP="00AC4ABF">
            <w:pPr>
              <w:spacing w:before="120" w:after="120"/>
              <w:rPr>
                <w:sz w:val="20"/>
                <w:szCs w:val="20"/>
              </w:rPr>
            </w:pPr>
            <w:r w:rsidRPr="00B4012C">
              <w:rPr>
                <w:b/>
                <w:sz w:val="20"/>
                <w:szCs w:val="20"/>
              </w:rPr>
              <w:t xml:space="preserve">Biographical: </w:t>
            </w:r>
            <w:r w:rsidR="00FB7E86" w:rsidRPr="00525368">
              <w:t>Sujata Bhatt was born in 1956 in Ahmedabad</w:t>
            </w:r>
            <w:r w:rsidR="00791801" w:rsidRPr="00525368">
              <w:t xml:space="preserve">, India. During her childhood she mainly spoke an Indian dialect called Gujarati but moved to a culture dominated by the English language when her family emigrated to the USA in 1968. The </w:t>
            </w:r>
            <w:r w:rsidR="00F70037" w:rsidRPr="00525368">
              <w:t xml:space="preserve">difficulties </w:t>
            </w:r>
            <w:r w:rsidR="00791801" w:rsidRPr="00525368">
              <w:t>experience</w:t>
            </w:r>
            <w:r w:rsidR="00F70037" w:rsidRPr="00525368">
              <w:t>d</w:t>
            </w:r>
            <w:r w:rsidR="00791801" w:rsidRPr="00525368">
              <w:t xml:space="preserve"> </w:t>
            </w:r>
            <w:r w:rsidR="00F70037" w:rsidRPr="00525368">
              <w:t xml:space="preserve">by </w:t>
            </w:r>
            <w:r w:rsidR="00791801" w:rsidRPr="00525368">
              <w:t>moving between different languages can clearly be seen in this poem</w:t>
            </w:r>
            <w:r w:rsidR="00F70037" w:rsidRPr="00525368">
              <w:t>. Some would interpret it as a criticism of English as a dominant empirical language that meant other cultures and languages had to compete to be heard and valued, reflecting</w:t>
            </w:r>
            <w:r w:rsidR="00B3355F" w:rsidRPr="00525368">
              <w:t xml:space="preserve"> amongst others,</w:t>
            </w:r>
            <w:r w:rsidR="00F70037" w:rsidRPr="00525368">
              <w:t xml:space="preserve"> the legacy of white British rule in India.</w:t>
            </w:r>
            <w:r w:rsidR="00F70037" w:rsidRPr="00B401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5B01DDE0" w14:textId="77777777" w:rsidR="00F16676" w:rsidRDefault="00F16676" w:rsidP="008B7DF1">
            <w:pPr>
              <w:spacing w:before="120" w:after="120"/>
              <w:ind w:left="113" w:right="113"/>
            </w:pPr>
          </w:p>
        </w:tc>
      </w:tr>
      <w:tr w:rsidR="008B7DF1" w14:paraId="280CECD9" w14:textId="77777777" w:rsidTr="0042033B">
        <w:trPr>
          <w:cantSplit/>
          <w:trHeight w:val="1134"/>
        </w:trPr>
        <w:tc>
          <w:tcPr>
            <w:tcW w:w="3056" w:type="dxa"/>
            <w:gridSpan w:val="2"/>
          </w:tcPr>
          <w:p w14:paraId="16BB506C" w14:textId="2B18DE8C" w:rsidR="008B7DF1" w:rsidRPr="008D14A8" w:rsidRDefault="008B7DF1" w:rsidP="005C2B98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1</w:t>
            </w:r>
            <w:r w:rsidRPr="008D14A8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9D5B27" w:rsidRPr="009D5B27">
              <w:t>Bhatt uses a demanding conversational tone as if in response to a previously asked question (1-6)</w:t>
            </w:r>
          </w:p>
        </w:tc>
        <w:tc>
          <w:tcPr>
            <w:tcW w:w="3043" w:type="dxa"/>
          </w:tcPr>
          <w:p w14:paraId="0900A6C7" w14:textId="6065FFFB" w:rsidR="008B7DF1" w:rsidRPr="00525368" w:rsidRDefault="009D5B27" w:rsidP="00DA53D7">
            <w:pPr>
              <w:spacing w:before="120" w:after="120"/>
              <w:rPr>
                <w:i/>
                <w:sz w:val="24"/>
                <w:szCs w:val="24"/>
              </w:rPr>
            </w:pPr>
            <w:r w:rsidRPr="00B4012C">
              <w:rPr>
                <w:i/>
                <w:sz w:val="20"/>
                <w:szCs w:val="20"/>
              </w:rPr>
              <w:t>‘</w:t>
            </w:r>
            <w:r w:rsidRPr="00525368">
              <w:rPr>
                <w:i/>
                <w:sz w:val="24"/>
                <w:szCs w:val="24"/>
              </w:rPr>
              <w:t>You ask me what I mean…lost my tongue’</w:t>
            </w:r>
          </w:p>
          <w:p w14:paraId="2B08FE67" w14:textId="4B4F5D95" w:rsidR="009D5B27" w:rsidRPr="00B4012C" w:rsidRDefault="009D5B27" w:rsidP="00DA53D7">
            <w:pPr>
              <w:spacing w:before="120" w:after="120"/>
              <w:rPr>
                <w:i/>
                <w:sz w:val="20"/>
                <w:szCs w:val="20"/>
              </w:rPr>
            </w:pPr>
            <w:r w:rsidRPr="00525368">
              <w:rPr>
                <w:i/>
                <w:sz w:val="24"/>
                <w:szCs w:val="24"/>
              </w:rPr>
              <w:t>‘I ask you, what would you do if you had two tongues in your mouth…’</w:t>
            </w:r>
          </w:p>
        </w:tc>
        <w:tc>
          <w:tcPr>
            <w:tcW w:w="3051" w:type="dxa"/>
          </w:tcPr>
          <w:p w14:paraId="13146D9E" w14:textId="74F71EAF" w:rsidR="008B7DF1" w:rsidRPr="00B4012C" w:rsidRDefault="009D5B27" w:rsidP="008B7DF1">
            <w:pPr>
              <w:spacing w:before="120" w:after="120"/>
              <w:rPr>
                <w:sz w:val="20"/>
                <w:szCs w:val="20"/>
              </w:rPr>
            </w:pPr>
            <w:proofErr w:type="gramStart"/>
            <w:r w:rsidRPr="00B4012C">
              <w:rPr>
                <w:sz w:val="20"/>
                <w:szCs w:val="20"/>
              </w:rPr>
              <w:t>This</w:t>
            </w:r>
            <w:r w:rsidR="00DF4400" w:rsidRPr="00B4012C">
              <w:rPr>
                <w:sz w:val="20"/>
                <w:szCs w:val="20"/>
              </w:rPr>
              <w:t xml:space="preserve"> colloquial /argumentative tone,</w:t>
            </w:r>
            <w:proofErr w:type="gramEnd"/>
            <w:r w:rsidR="00DF4400" w:rsidRPr="00B4012C">
              <w:rPr>
                <w:sz w:val="20"/>
                <w:szCs w:val="20"/>
              </w:rPr>
              <w:t xml:space="preserve"> </w:t>
            </w:r>
            <w:r w:rsidRPr="00B4012C">
              <w:rPr>
                <w:sz w:val="20"/>
                <w:szCs w:val="20"/>
              </w:rPr>
              <w:t xml:space="preserve">introduces the </w:t>
            </w:r>
            <w:r w:rsidR="00DF4400" w:rsidRPr="00B4012C">
              <w:rPr>
                <w:sz w:val="20"/>
                <w:szCs w:val="20"/>
              </w:rPr>
              <w:t>theme of frustration and anxiety at having one’s identity threatened through lack of ability to communicate and establishes the tongue as a metaphor for personal identity.</w:t>
            </w:r>
          </w:p>
        </w:tc>
        <w:tc>
          <w:tcPr>
            <w:tcW w:w="4874" w:type="dxa"/>
            <w:vMerge/>
          </w:tcPr>
          <w:p w14:paraId="11BE02B8" w14:textId="77777777" w:rsidR="008B7DF1" w:rsidRPr="00B4012C" w:rsidRDefault="008B7DF1" w:rsidP="008B7DF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417B08C9" w14:textId="77777777" w:rsidR="008B7DF1" w:rsidRDefault="008B7DF1" w:rsidP="008B7DF1">
            <w:pPr>
              <w:spacing w:before="120" w:after="120"/>
              <w:ind w:left="113" w:right="113"/>
            </w:pPr>
          </w:p>
        </w:tc>
      </w:tr>
      <w:tr w:rsidR="007C1816" w14:paraId="06696E71" w14:textId="77777777" w:rsidTr="0042033B">
        <w:trPr>
          <w:cantSplit/>
          <w:trHeight w:val="1134"/>
        </w:trPr>
        <w:tc>
          <w:tcPr>
            <w:tcW w:w="3056" w:type="dxa"/>
            <w:gridSpan w:val="2"/>
          </w:tcPr>
          <w:p w14:paraId="12E714E8" w14:textId="6D272EC5" w:rsidR="007C1816" w:rsidRPr="008D14A8" w:rsidRDefault="007C1816" w:rsidP="0066310F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2</w:t>
            </w:r>
            <w:r w:rsidRPr="008D14A8">
              <w:rPr>
                <w:b/>
                <w:sz w:val="24"/>
                <w:szCs w:val="24"/>
              </w:rPr>
              <w:t>:</w:t>
            </w:r>
            <w:r w:rsidRPr="008D14A8">
              <w:rPr>
                <w:sz w:val="24"/>
                <w:szCs w:val="24"/>
              </w:rPr>
              <w:t xml:space="preserve"> </w:t>
            </w:r>
            <w:r w:rsidR="00DF4400">
              <w:rPr>
                <w:sz w:val="24"/>
                <w:szCs w:val="24"/>
              </w:rPr>
              <w:t>Bhatt goes on to explain her fears of forgetting how to speak her native language and being forced to reject it in favour of English. (10-15)</w:t>
            </w:r>
          </w:p>
        </w:tc>
        <w:tc>
          <w:tcPr>
            <w:tcW w:w="3043" w:type="dxa"/>
          </w:tcPr>
          <w:p w14:paraId="4619B41D" w14:textId="097D8085" w:rsidR="00A64439" w:rsidRPr="00B4012C" w:rsidRDefault="00DF4400" w:rsidP="00DA53D7">
            <w:pPr>
              <w:spacing w:before="120" w:after="120"/>
              <w:rPr>
                <w:i/>
                <w:sz w:val="20"/>
                <w:szCs w:val="20"/>
              </w:rPr>
            </w:pPr>
            <w:r w:rsidRPr="00B4012C">
              <w:rPr>
                <w:i/>
                <w:sz w:val="20"/>
                <w:szCs w:val="20"/>
              </w:rPr>
              <w:t>‘</w:t>
            </w:r>
            <w:r w:rsidRPr="00525368">
              <w:rPr>
                <w:i/>
                <w:sz w:val="24"/>
                <w:szCs w:val="24"/>
              </w:rPr>
              <w:t>Your mother tongue would rot, rot and die in your mouth until you had to “spit it out”.</w:t>
            </w:r>
            <w:bookmarkStart w:id="0" w:name="_GoBack"/>
            <w:bookmarkEnd w:id="0"/>
          </w:p>
        </w:tc>
        <w:tc>
          <w:tcPr>
            <w:tcW w:w="3051" w:type="dxa"/>
          </w:tcPr>
          <w:p w14:paraId="631FA056" w14:textId="04110886" w:rsidR="007C1816" w:rsidRPr="00525368" w:rsidRDefault="00DF4400" w:rsidP="008B7DF1">
            <w:pPr>
              <w:spacing w:before="120" w:after="120"/>
            </w:pPr>
            <w:r w:rsidRPr="00525368">
              <w:t>The repetition of ‘rot’</w:t>
            </w:r>
            <w:r w:rsidR="00B4012C" w:rsidRPr="00525368">
              <w:t xml:space="preserve"> and the lexis ‘die’</w:t>
            </w:r>
            <w:r w:rsidRPr="00525368">
              <w:t xml:space="preserve"> suggest a traumatic experience and physical degeneration culminating in rejecting something disgusting through the colloquial imperative “spit it out”.</w:t>
            </w:r>
          </w:p>
        </w:tc>
        <w:tc>
          <w:tcPr>
            <w:tcW w:w="4874" w:type="dxa"/>
            <w:vMerge w:val="restart"/>
          </w:tcPr>
          <w:p w14:paraId="31602F82" w14:textId="0CCD5D80" w:rsidR="00525368" w:rsidRPr="00525368" w:rsidRDefault="007C1816" w:rsidP="00FB7E86">
            <w:pPr>
              <w:spacing w:before="120" w:after="120"/>
              <w:rPr>
                <w:sz w:val="24"/>
                <w:szCs w:val="24"/>
              </w:rPr>
            </w:pPr>
            <w:r w:rsidRPr="00B4012C">
              <w:rPr>
                <w:b/>
                <w:sz w:val="20"/>
                <w:szCs w:val="20"/>
              </w:rPr>
              <w:t>Interpretation</w:t>
            </w:r>
            <w:r w:rsidRPr="00B4012C">
              <w:rPr>
                <w:b/>
                <w:sz w:val="24"/>
                <w:szCs w:val="24"/>
              </w:rPr>
              <w:t>:</w:t>
            </w:r>
            <w:r w:rsidRPr="00B4012C">
              <w:rPr>
                <w:sz w:val="24"/>
                <w:szCs w:val="24"/>
              </w:rPr>
              <w:t xml:space="preserve"> </w:t>
            </w:r>
            <w:r w:rsidR="00BC7A02" w:rsidRPr="00B4012C">
              <w:rPr>
                <w:sz w:val="24"/>
                <w:szCs w:val="24"/>
              </w:rPr>
              <w:t>Language and structure are literally linked to meaning in this poem with the inclusion of the Gujarati script that renders a non- Gujarati reader silent, ironically communicating how one can be</w:t>
            </w:r>
            <w:r w:rsidR="00F70037" w:rsidRPr="00B4012C">
              <w:rPr>
                <w:sz w:val="24"/>
                <w:szCs w:val="24"/>
              </w:rPr>
              <w:t>come</w:t>
            </w:r>
            <w:r w:rsidR="00BC7A02" w:rsidRPr="00B4012C">
              <w:rPr>
                <w:sz w:val="24"/>
                <w:szCs w:val="24"/>
              </w:rPr>
              <w:t xml:space="preserve"> voiceless in a foreign country without the knowledge of the native language. Even if the reader pronounces the phonetic transcription detailed under the script, they are merely making sounds and not communicating</w:t>
            </w:r>
            <w:r w:rsidR="00246A7A" w:rsidRPr="00B4012C">
              <w:rPr>
                <w:sz w:val="24"/>
                <w:szCs w:val="24"/>
              </w:rPr>
              <w:t>, conveying Bhatt’s message that without language one can feel insignificant, invisible and experience loss of personal identi</w:t>
            </w:r>
            <w:r w:rsidR="00F70037" w:rsidRPr="00B4012C">
              <w:rPr>
                <w:sz w:val="24"/>
                <w:szCs w:val="24"/>
              </w:rPr>
              <w:t>ty. The fear of</w:t>
            </w:r>
            <w:r w:rsidR="00C53FE9" w:rsidRPr="00B4012C">
              <w:rPr>
                <w:sz w:val="24"/>
                <w:szCs w:val="24"/>
              </w:rPr>
              <w:t xml:space="preserve"> losing your roots, or </w:t>
            </w:r>
            <w:r w:rsidR="00F70037" w:rsidRPr="00B4012C">
              <w:rPr>
                <w:sz w:val="24"/>
                <w:szCs w:val="24"/>
              </w:rPr>
              <w:t>not being heard and having to fight to have your voice listened to is expressed here.</w:t>
            </w:r>
            <w:r w:rsidR="00C53FE9" w:rsidRPr="00B4012C">
              <w:rPr>
                <w:sz w:val="24"/>
                <w:szCs w:val="24"/>
              </w:rPr>
              <w:t xml:space="preserve"> </w:t>
            </w:r>
            <w:r w:rsidR="00C53FE9" w:rsidRPr="00525368">
              <w:rPr>
                <w:sz w:val="24"/>
                <w:szCs w:val="24"/>
              </w:rPr>
              <w:lastRenderedPageBreak/>
              <w:t>However, a vibrant sustained</w:t>
            </w:r>
            <w:r w:rsidR="00F70037" w:rsidRPr="00525368">
              <w:rPr>
                <w:sz w:val="24"/>
                <w:szCs w:val="24"/>
              </w:rPr>
              <w:t xml:space="preserve"> metaphor</w:t>
            </w:r>
            <w:r w:rsidR="00C53FE9" w:rsidRPr="00525368">
              <w:rPr>
                <w:sz w:val="24"/>
                <w:szCs w:val="24"/>
              </w:rPr>
              <w:t xml:space="preserve"> of the tongue as a naturally regenerating plant </w:t>
            </w:r>
            <w:r w:rsidR="00F70037" w:rsidRPr="00525368">
              <w:rPr>
                <w:sz w:val="24"/>
                <w:szCs w:val="24"/>
              </w:rPr>
              <w:t>present</w:t>
            </w:r>
            <w:r w:rsidR="00C53FE9" w:rsidRPr="00525368">
              <w:rPr>
                <w:sz w:val="24"/>
                <w:szCs w:val="24"/>
              </w:rPr>
              <w:t>s</w:t>
            </w:r>
            <w:r w:rsidR="00F70037" w:rsidRPr="00525368">
              <w:rPr>
                <w:sz w:val="24"/>
                <w:szCs w:val="24"/>
              </w:rPr>
              <w:t xml:space="preserve"> the reader with Bhatt’s celebration of the strength and resilience of personal identity</w:t>
            </w:r>
            <w:r w:rsidR="00C53FE9" w:rsidRPr="00525368">
              <w:rPr>
                <w:sz w:val="24"/>
                <w:szCs w:val="24"/>
              </w:rPr>
              <w:t xml:space="preserve"> and the power of the individual to </w:t>
            </w:r>
            <w:proofErr w:type="gramStart"/>
            <w:r w:rsidR="00C53FE9" w:rsidRPr="00525368">
              <w:rPr>
                <w:sz w:val="24"/>
                <w:szCs w:val="24"/>
              </w:rPr>
              <w:t>rise up</w:t>
            </w:r>
            <w:proofErr w:type="gramEnd"/>
            <w:r w:rsidR="00C53FE9" w:rsidRPr="00525368">
              <w:rPr>
                <w:sz w:val="24"/>
                <w:szCs w:val="24"/>
              </w:rPr>
              <w:t xml:space="preserve"> and be heard</w:t>
            </w:r>
            <w:r w:rsidR="00B3355F" w:rsidRPr="00525368">
              <w:rPr>
                <w:sz w:val="24"/>
                <w:szCs w:val="24"/>
              </w:rPr>
              <w:t xml:space="preserve">, </w:t>
            </w:r>
            <w:r w:rsidR="00C53FE9" w:rsidRPr="00525368">
              <w:rPr>
                <w:sz w:val="24"/>
                <w:szCs w:val="24"/>
              </w:rPr>
              <w:t>however much one</w:t>
            </w:r>
            <w:r w:rsidR="009D5B27" w:rsidRPr="00525368">
              <w:rPr>
                <w:sz w:val="24"/>
                <w:szCs w:val="24"/>
              </w:rPr>
              <w:t xml:space="preserve"> is made to</w:t>
            </w:r>
            <w:r w:rsidR="00C53FE9" w:rsidRPr="00525368">
              <w:rPr>
                <w:sz w:val="24"/>
                <w:szCs w:val="24"/>
              </w:rPr>
              <w:t xml:space="preserve"> feel</w:t>
            </w:r>
            <w:r w:rsidR="009D5B27" w:rsidRPr="00525368">
              <w:rPr>
                <w:sz w:val="24"/>
                <w:szCs w:val="24"/>
              </w:rPr>
              <w:t xml:space="preserve"> personally or culturally </w:t>
            </w:r>
            <w:r w:rsidR="00C53FE9" w:rsidRPr="00525368">
              <w:rPr>
                <w:sz w:val="24"/>
                <w:szCs w:val="24"/>
              </w:rPr>
              <w:t>inferior.</w:t>
            </w:r>
            <w:r w:rsidR="00B4012C" w:rsidRPr="00525368">
              <w:rPr>
                <w:sz w:val="24"/>
                <w:szCs w:val="24"/>
              </w:rPr>
              <w:t xml:space="preserve"> The final </w:t>
            </w:r>
            <w:r w:rsidR="00525368" w:rsidRPr="00525368">
              <w:rPr>
                <w:sz w:val="24"/>
                <w:szCs w:val="24"/>
              </w:rPr>
              <w:t>idea in the poem starting</w:t>
            </w:r>
            <w:r w:rsidR="00525368">
              <w:rPr>
                <w:sz w:val="24"/>
                <w:szCs w:val="24"/>
              </w:rPr>
              <w:t xml:space="preserve">, </w:t>
            </w:r>
            <w:r w:rsidR="00525368" w:rsidRPr="00525368">
              <w:rPr>
                <w:sz w:val="24"/>
                <w:szCs w:val="24"/>
              </w:rPr>
              <w:t>‘</w:t>
            </w:r>
            <w:proofErr w:type="spellStart"/>
            <w:r w:rsidR="00525368" w:rsidRPr="00525368">
              <w:rPr>
                <w:sz w:val="24"/>
                <w:szCs w:val="24"/>
                <w:u w:val="single"/>
              </w:rPr>
              <w:t>Everytime</w:t>
            </w:r>
            <w:proofErr w:type="spellEnd"/>
            <w:r w:rsidR="00525368" w:rsidRPr="00525368">
              <w:rPr>
                <w:sz w:val="24"/>
                <w:szCs w:val="24"/>
              </w:rPr>
              <w:t xml:space="preserve"> I think I’ve forgotten, I think I’ve lost the mother tongue…’</w:t>
            </w:r>
            <w:r w:rsidR="00525368">
              <w:rPr>
                <w:sz w:val="24"/>
                <w:szCs w:val="24"/>
              </w:rPr>
              <w:t xml:space="preserve"> reflects the fact that this insecurity about personal identity linked to our language and ability to be heard is an ongoing one for people who do not have English as a first language.</w:t>
            </w:r>
          </w:p>
          <w:p w14:paraId="1B0BD672" w14:textId="5F4A56AE" w:rsidR="007C1816" w:rsidRPr="00B4012C" w:rsidRDefault="007C1816" w:rsidP="00DA53D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302E9727" w14:textId="77777777" w:rsidR="007C1816" w:rsidRDefault="007C1816" w:rsidP="008B7DF1">
            <w:pPr>
              <w:spacing w:before="120" w:after="120"/>
              <w:ind w:left="113" w:right="113"/>
            </w:pPr>
          </w:p>
        </w:tc>
      </w:tr>
      <w:tr w:rsidR="007C1816" w14:paraId="3FAE0E4B" w14:textId="77777777" w:rsidTr="0042033B">
        <w:trPr>
          <w:cantSplit/>
          <w:trHeight w:val="1134"/>
        </w:trPr>
        <w:tc>
          <w:tcPr>
            <w:tcW w:w="3056" w:type="dxa"/>
            <w:gridSpan w:val="2"/>
          </w:tcPr>
          <w:p w14:paraId="15BE8C2B" w14:textId="0AEBCCA0" w:rsidR="007C1816" w:rsidRPr="008D14A8" w:rsidRDefault="007C1816" w:rsidP="0066310F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3</w:t>
            </w:r>
            <w:r>
              <w:rPr>
                <w:sz w:val="24"/>
                <w:szCs w:val="24"/>
              </w:rPr>
              <w:t>.</w:t>
            </w:r>
            <w:r w:rsidR="0083214C">
              <w:rPr>
                <w:sz w:val="24"/>
                <w:szCs w:val="24"/>
              </w:rPr>
              <w:t xml:space="preserve"> </w:t>
            </w:r>
            <w:r w:rsidR="00757892" w:rsidRPr="000F2247">
              <w:rPr>
                <w:sz w:val="24"/>
                <w:szCs w:val="24"/>
              </w:rPr>
              <w:t xml:space="preserve">Bhatt shifts to a visual representation </w:t>
            </w:r>
            <w:r w:rsidR="00544558" w:rsidRPr="000F2247">
              <w:rPr>
                <w:sz w:val="24"/>
                <w:szCs w:val="24"/>
              </w:rPr>
              <w:t>on the page of her native and new languages competing. (19-30)</w:t>
            </w:r>
          </w:p>
        </w:tc>
        <w:tc>
          <w:tcPr>
            <w:tcW w:w="3043" w:type="dxa"/>
          </w:tcPr>
          <w:p w14:paraId="3AFFED7A" w14:textId="2FE256F7" w:rsidR="00544558" w:rsidRDefault="00544558" w:rsidP="00DA53D7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‘but overnight while I dream’</w:t>
            </w:r>
          </w:p>
          <w:p w14:paraId="3001DD93" w14:textId="4B8B531A" w:rsidR="007C1816" w:rsidRDefault="00544558" w:rsidP="00DA53D7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Gujarati script</w:t>
            </w:r>
          </w:p>
          <w:p w14:paraId="4A13FA0E" w14:textId="0D31D37E" w:rsidR="00544558" w:rsidRPr="0042033B" w:rsidRDefault="00544558" w:rsidP="00DA53D7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(may </w:t>
            </w:r>
            <w:proofErr w:type="spellStart"/>
            <w:r>
              <w:rPr>
                <w:i/>
                <w:sz w:val="24"/>
                <w:szCs w:val="24"/>
              </w:rPr>
              <w:t>thoonky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nakhi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chay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051" w:type="dxa"/>
          </w:tcPr>
          <w:p w14:paraId="7B6CB9E8" w14:textId="4DCA73C4" w:rsidR="007C1816" w:rsidRPr="009D0F1D" w:rsidRDefault="00544558" w:rsidP="008B7DF1">
            <w:pPr>
              <w:spacing w:before="120" w:after="120"/>
            </w:pPr>
            <w:r>
              <w:t>The reader hears her foreign tongue through the phonetic transcription. The meaning is the Gujarati translation of the final section in English. It is p</w:t>
            </w:r>
            <w:r w:rsidR="000F2247">
              <w:t>ositioned in the middle section because it is at the centre of the conflict she’s experiencing.</w:t>
            </w:r>
          </w:p>
        </w:tc>
        <w:tc>
          <w:tcPr>
            <w:tcW w:w="4874" w:type="dxa"/>
            <w:vMerge/>
          </w:tcPr>
          <w:p w14:paraId="1524FCC9" w14:textId="77777777" w:rsidR="007C1816" w:rsidRPr="00F16676" w:rsidRDefault="007C1816" w:rsidP="008B7DF1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4702561A" w14:textId="77777777" w:rsidR="007C1816" w:rsidRDefault="007C1816" w:rsidP="008B7DF1">
            <w:pPr>
              <w:spacing w:before="120" w:after="120"/>
              <w:ind w:left="113" w:right="113"/>
            </w:pPr>
          </w:p>
        </w:tc>
      </w:tr>
      <w:tr w:rsidR="000F2247" w14:paraId="1635E154" w14:textId="77777777" w:rsidTr="0042033B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14:paraId="32FE2523" w14:textId="39C57404" w:rsidR="000F2247" w:rsidRPr="000F2247" w:rsidRDefault="000F2247" w:rsidP="00AC4ABF">
            <w:pPr>
              <w:spacing w:before="120" w:after="120"/>
            </w:pPr>
            <w:r>
              <w:rPr>
                <w:b/>
                <w:sz w:val="24"/>
                <w:szCs w:val="24"/>
              </w:rPr>
              <w:lastRenderedPageBreak/>
              <w:t>Part 4</w:t>
            </w:r>
            <w:r w:rsidRPr="008D14A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F2247">
              <w:t>Bhatt describes her native language, the essence of her sense of self- identity regenerating and growing stronger</w:t>
            </w:r>
            <w:r w:rsidR="00B4012C">
              <w:t xml:space="preserve"> through an extended metaphor of a plant rooting, shooting, growing and flowering.</w:t>
            </w:r>
            <w:r w:rsidRPr="000F2247">
              <w:t xml:space="preserve"> The ending is powerful and celebratory</w:t>
            </w:r>
            <w:r>
              <w:t xml:space="preserve"> with the surreal image of her tongue as ‘it blossoms out of my mouth’.</w:t>
            </w:r>
          </w:p>
          <w:p w14:paraId="13672DD6" w14:textId="5AE38090" w:rsidR="000F2247" w:rsidRPr="008D14A8" w:rsidRDefault="000F2247" w:rsidP="00AC4ABF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43" w:type="dxa"/>
            <w:vMerge w:val="restart"/>
          </w:tcPr>
          <w:p w14:paraId="3ADBCC91" w14:textId="77777777" w:rsidR="000F2247" w:rsidRDefault="000F2247" w:rsidP="00AC4ABF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‘It grows back, a stump of a shoot grows longer, grows moist, grows strong veins’.</w:t>
            </w:r>
          </w:p>
          <w:p w14:paraId="47D4D544" w14:textId="77777777" w:rsidR="000F2247" w:rsidRDefault="000F2247" w:rsidP="00AC4ABF">
            <w:pPr>
              <w:spacing w:before="120" w:after="120"/>
              <w:rPr>
                <w:i/>
                <w:sz w:val="24"/>
                <w:szCs w:val="24"/>
              </w:rPr>
            </w:pPr>
          </w:p>
          <w:p w14:paraId="4E5E9BEE" w14:textId="77777777" w:rsidR="000F2247" w:rsidRDefault="000F2247" w:rsidP="00AC4ABF">
            <w:pPr>
              <w:spacing w:before="120" w:after="120"/>
              <w:rPr>
                <w:i/>
                <w:sz w:val="24"/>
                <w:szCs w:val="24"/>
              </w:rPr>
            </w:pPr>
          </w:p>
          <w:p w14:paraId="346BC9A1" w14:textId="77777777" w:rsidR="000F2247" w:rsidRDefault="000F2247" w:rsidP="00AC4ABF">
            <w:pPr>
              <w:spacing w:before="120" w:after="120"/>
              <w:rPr>
                <w:i/>
                <w:sz w:val="24"/>
                <w:szCs w:val="24"/>
              </w:rPr>
            </w:pPr>
          </w:p>
          <w:p w14:paraId="7856355E" w14:textId="5BAA5E7D" w:rsidR="000F2247" w:rsidRPr="00983AAA" w:rsidRDefault="000F2247" w:rsidP="00AC4ABF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‘It ties the other tongue in knots’.</w:t>
            </w:r>
          </w:p>
        </w:tc>
        <w:tc>
          <w:tcPr>
            <w:tcW w:w="3051" w:type="dxa"/>
          </w:tcPr>
          <w:p w14:paraId="1E4A540E" w14:textId="2F6531AE" w:rsidR="000F2247" w:rsidRPr="009D0F1D" w:rsidRDefault="000F2247" w:rsidP="00AC4ABF">
            <w:pPr>
              <w:spacing w:before="120" w:after="120"/>
            </w:pPr>
            <w:r>
              <w:t>Metaphor of her tongue as a plant and the repetition of grows suggests an organic/natural process of regeneration that is not glamorised but inevitable.</w:t>
            </w:r>
          </w:p>
        </w:tc>
        <w:tc>
          <w:tcPr>
            <w:tcW w:w="4874" w:type="dxa"/>
            <w:vMerge/>
          </w:tcPr>
          <w:p w14:paraId="24876F22" w14:textId="77777777" w:rsidR="000F2247" w:rsidRPr="00F16676" w:rsidRDefault="000F2247" w:rsidP="00AC4ABF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7ABF4137" w14:textId="77777777" w:rsidR="000F2247" w:rsidRDefault="000F2247" w:rsidP="00AC4ABF">
            <w:pPr>
              <w:spacing w:before="120" w:after="120"/>
              <w:ind w:left="113" w:right="113"/>
            </w:pPr>
          </w:p>
        </w:tc>
      </w:tr>
      <w:tr w:rsidR="000F2247" w14:paraId="21A26F7C" w14:textId="77777777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14:paraId="2C122138" w14:textId="06EC5178" w:rsidR="000F2247" w:rsidRPr="008D14A8" w:rsidRDefault="000F2247" w:rsidP="00AC4A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  <w:vMerge/>
          </w:tcPr>
          <w:p w14:paraId="4E9122AE" w14:textId="31E15C8E" w:rsidR="000F2247" w:rsidRPr="009D0F1D" w:rsidRDefault="000F2247" w:rsidP="00AC4A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51" w:type="dxa"/>
          </w:tcPr>
          <w:p w14:paraId="30EC5609" w14:textId="1CB82861" w:rsidR="000F2247" w:rsidRPr="009D0F1D" w:rsidRDefault="000F2247" w:rsidP="00AC4ABF">
            <w:pPr>
              <w:spacing w:before="120" w:after="120"/>
            </w:pPr>
            <w:r>
              <w:t>Playing on the colloquialism ‘tongue tied’, this use of personification describes the mother tongue</w:t>
            </w:r>
            <w:r w:rsidR="00B4012C">
              <w:t xml:space="preserve"> dominating the foreign tongue, therefore protecting her self-identity.</w:t>
            </w:r>
          </w:p>
        </w:tc>
        <w:tc>
          <w:tcPr>
            <w:tcW w:w="4874" w:type="dxa"/>
            <w:vMerge/>
          </w:tcPr>
          <w:p w14:paraId="75AD7587" w14:textId="77777777" w:rsidR="000F2247" w:rsidRPr="008D14A8" w:rsidRDefault="000F2247" w:rsidP="00AC4A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1A82A937" w14:textId="77777777" w:rsidR="000F2247" w:rsidRDefault="000F2247" w:rsidP="00AC4ABF">
            <w:pPr>
              <w:spacing w:before="120" w:after="120"/>
              <w:ind w:left="113" w:right="113"/>
            </w:pPr>
          </w:p>
        </w:tc>
      </w:tr>
      <w:tr w:rsidR="00AC4ABF" w14:paraId="1A148D77" w14:textId="77777777" w:rsidTr="00484E5F">
        <w:trPr>
          <w:cantSplit/>
          <w:trHeight w:val="1134"/>
        </w:trPr>
        <w:tc>
          <w:tcPr>
            <w:tcW w:w="3056" w:type="dxa"/>
            <w:gridSpan w:val="2"/>
            <w:shd w:val="clear" w:color="auto" w:fill="000000" w:themeFill="text1"/>
          </w:tcPr>
          <w:p w14:paraId="6F9BACFA" w14:textId="676D3C3E" w:rsidR="00AC4ABF" w:rsidRPr="008D14A8" w:rsidRDefault="00AC4ABF" w:rsidP="00AC4ABF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Partner poems? 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3043" w:type="dxa"/>
          </w:tcPr>
          <w:p w14:paraId="4247F738" w14:textId="08F3E406" w:rsidR="00AC4ABF" w:rsidRPr="0079488A" w:rsidRDefault="00B4012C" w:rsidP="00AC4ABF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‘the bud opens, the bud opens in my mouth,’</w:t>
            </w:r>
          </w:p>
        </w:tc>
        <w:tc>
          <w:tcPr>
            <w:tcW w:w="3051" w:type="dxa"/>
          </w:tcPr>
          <w:p w14:paraId="5DE3F7AF" w14:textId="1D4BD4FB" w:rsidR="00AC4ABF" w:rsidRPr="009D0F1D" w:rsidRDefault="00B4012C" w:rsidP="00AC4ABF">
            <w:pPr>
              <w:spacing w:before="120" w:after="120"/>
            </w:pPr>
            <w:r>
              <w:t>The use of anaphora emphasises the ‘bud’ and natural regeneration and conveys her sense of awe and wonder at the power of her own spirit to protect her cultural identity.</w:t>
            </w:r>
          </w:p>
        </w:tc>
        <w:tc>
          <w:tcPr>
            <w:tcW w:w="4874" w:type="dxa"/>
            <w:vMerge/>
          </w:tcPr>
          <w:p w14:paraId="0DA1D456" w14:textId="77777777" w:rsidR="00AC4ABF" w:rsidRPr="008D14A8" w:rsidRDefault="00AC4ABF" w:rsidP="00AC4A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145B9FF7" w14:textId="77777777" w:rsidR="00AC4ABF" w:rsidRDefault="00AC4ABF" w:rsidP="00AC4ABF">
            <w:pPr>
              <w:spacing w:before="120" w:after="120"/>
              <w:ind w:left="113" w:right="113"/>
            </w:pPr>
          </w:p>
        </w:tc>
      </w:tr>
    </w:tbl>
    <w:p w14:paraId="419127FE" w14:textId="77777777" w:rsidR="000C39AF" w:rsidRDefault="000C39AF"/>
    <w:sectPr w:rsidR="000C39AF" w:rsidSect="00810A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AA7"/>
    <w:rsid w:val="0002663D"/>
    <w:rsid w:val="000C39AF"/>
    <w:rsid w:val="000F2247"/>
    <w:rsid w:val="001C3053"/>
    <w:rsid w:val="001D73A5"/>
    <w:rsid w:val="0023147B"/>
    <w:rsid w:val="00246A7A"/>
    <w:rsid w:val="003169E1"/>
    <w:rsid w:val="00334E72"/>
    <w:rsid w:val="00382366"/>
    <w:rsid w:val="00396578"/>
    <w:rsid w:val="0042033B"/>
    <w:rsid w:val="004519D0"/>
    <w:rsid w:val="004842D1"/>
    <w:rsid w:val="00484E5F"/>
    <w:rsid w:val="00525368"/>
    <w:rsid w:val="00544558"/>
    <w:rsid w:val="005C2B98"/>
    <w:rsid w:val="00647F69"/>
    <w:rsid w:val="0066310F"/>
    <w:rsid w:val="00663A63"/>
    <w:rsid w:val="00687007"/>
    <w:rsid w:val="00692E19"/>
    <w:rsid w:val="00694534"/>
    <w:rsid w:val="00700ECA"/>
    <w:rsid w:val="00757892"/>
    <w:rsid w:val="00791801"/>
    <w:rsid w:val="0079488A"/>
    <w:rsid w:val="007C1816"/>
    <w:rsid w:val="00810AA7"/>
    <w:rsid w:val="0083214C"/>
    <w:rsid w:val="00850041"/>
    <w:rsid w:val="008A7D49"/>
    <w:rsid w:val="008B7DF1"/>
    <w:rsid w:val="008D14A8"/>
    <w:rsid w:val="00917FAB"/>
    <w:rsid w:val="00983AAA"/>
    <w:rsid w:val="009D0F1D"/>
    <w:rsid w:val="009D5B27"/>
    <w:rsid w:val="00A64439"/>
    <w:rsid w:val="00A966DB"/>
    <w:rsid w:val="00AB0095"/>
    <w:rsid w:val="00AC4ABF"/>
    <w:rsid w:val="00B2054F"/>
    <w:rsid w:val="00B3355F"/>
    <w:rsid w:val="00B4012C"/>
    <w:rsid w:val="00B97E20"/>
    <w:rsid w:val="00BC7A02"/>
    <w:rsid w:val="00C02805"/>
    <w:rsid w:val="00C41392"/>
    <w:rsid w:val="00C53FE9"/>
    <w:rsid w:val="00C817B2"/>
    <w:rsid w:val="00D166B1"/>
    <w:rsid w:val="00D736C3"/>
    <w:rsid w:val="00D81B48"/>
    <w:rsid w:val="00DA53D7"/>
    <w:rsid w:val="00DD1738"/>
    <w:rsid w:val="00DF4400"/>
    <w:rsid w:val="00E673C2"/>
    <w:rsid w:val="00F16676"/>
    <w:rsid w:val="00F70037"/>
    <w:rsid w:val="00F950A2"/>
    <w:rsid w:val="00FA0A26"/>
    <w:rsid w:val="00FB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CBEBC"/>
  <w15:chartTrackingRefBased/>
  <w15:docId w15:val="{4A55AEA5-E50D-42EB-9CD1-7EBFD456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95291AB1</Template>
  <TotalTime>0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Sarah Tribe</cp:lastModifiedBy>
  <cp:revision>2</cp:revision>
  <cp:lastPrinted>2016-12-12T10:17:00Z</cp:lastPrinted>
  <dcterms:created xsi:type="dcterms:W3CDTF">2018-09-04T11:35:00Z</dcterms:created>
  <dcterms:modified xsi:type="dcterms:W3CDTF">2018-09-04T11:35:00Z</dcterms:modified>
</cp:coreProperties>
</file>